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E0257" w14:textId="05A4BF36" w:rsidR="00164899" w:rsidRDefault="00946304">
      <w:pPr>
        <w:spacing w:after="0" w:line="240" w:lineRule="auto"/>
        <w:jc w:val="center"/>
        <w:rPr>
          <w:rFonts w:ascii="Times New Roman" w:hAnsi="Times New Roman"/>
          <w:b/>
          <w:sz w:val="20"/>
          <w:szCs w:val="20"/>
        </w:rPr>
      </w:pPr>
      <w:r>
        <w:rPr>
          <w:rFonts w:ascii="Times New Roman" w:hAnsi="Times New Roman"/>
          <w:b/>
          <w:noProof/>
          <w:sz w:val="20"/>
          <w:szCs w:val="20"/>
          <w:lang w:eastAsia="en-US"/>
        </w:rPr>
        <w:drawing>
          <wp:inline distT="114300" distB="114300" distL="114300" distR="114300" wp14:anchorId="3714653D" wp14:editId="247CA170">
            <wp:extent cx="591503" cy="504638"/>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91503" cy="504638"/>
                    </a:xfrm>
                    <a:prstGeom prst="rect">
                      <a:avLst/>
                    </a:prstGeom>
                    <a:ln/>
                  </pic:spPr>
                </pic:pic>
              </a:graphicData>
            </a:graphic>
          </wp:inline>
        </w:drawing>
      </w:r>
    </w:p>
    <w:p w14:paraId="43BC9E58" w14:textId="77777777" w:rsidR="00164899" w:rsidRDefault="00946304">
      <w:pPr>
        <w:spacing w:after="0" w:line="240" w:lineRule="auto"/>
        <w:jc w:val="center"/>
        <w:rPr>
          <w:rFonts w:ascii="Times New Roman" w:hAnsi="Times New Roman"/>
          <w:b/>
          <w:sz w:val="20"/>
          <w:szCs w:val="20"/>
        </w:rPr>
      </w:pPr>
      <w:r>
        <w:rPr>
          <w:rFonts w:ascii="Times New Roman" w:hAnsi="Times New Roman"/>
          <w:b/>
          <w:sz w:val="20"/>
          <w:szCs w:val="20"/>
        </w:rPr>
        <w:t>Bina' Al-Ummah</w:t>
      </w:r>
    </w:p>
    <w:p w14:paraId="36136E89" w14:textId="77777777" w:rsidR="00164899" w:rsidRDefault="00946304">
      <w:pPr>
        <w:spacing w:after="0" w:line="240" w:lineRule="auto"/>
        <w:jc w:val="center"/>
        <w:rPr>
          <w:rFonts w:ascii="Times New Roman" w:hAnsi="Times New Roman"/>
          <w:sz w:val="20"/>
          <w:szCs w:val="20"/>
        </w:rPr>
      </w:pPr>
      <w:r>
        <w:rPr>
          <w:rFonts w:ascii="Times New Roman" w:hAnsi="Times New Roman"/>
          <w:sz w:val="20"/>
          <w:szCs w:val="20"/>
        </w:rPr>
        <w:t>P-ISSN: 1907-2597, E-ISSN: 2745-3529</w:t>
      </w:r>
    </w:p>
    <w:p w14:paraId="22844C12" w14:textId="77777777" w:rsidR="00164899" w:rsidRDefault="002A2373">
      <w:pPr>
        <w:spacing w:after="0" w:line="240" w:lineRule="auto"/>
        <w:jc w:val="center"/>
        <w:rPr>
          <w:rFonts w:ascii="Times New Roman" w:hAnsi="Times New Roman"/>
          <w:color w:val="1F497D"/>
          <w:sz w:val="20"/>
          <w:szCs w:val="20"/>
        </w:rPr>
      </w:pPr>
      <w:hyperlink r:id="rId11">
        <w:r w:rsidR="00946304">
          <w:rPr>
            <w:rFonts w:ascii="Times New Roman" w:hAnsi="Times New Roman"/>
            <w:color w:val="0000FF"/>
            <w:sz w:val="20"/>
            <w:szCs w:val="20"/>
          </w:rPr>
          <w:t>http://ejournal.radenintan.ac.id/index.php/alummah</w:t>
        </w:r>
      </w:hyperlink>
      <w:r w:rsidR="00946304">
        <w:rPr>
          <w:rFonts w:ascii="Times New Roman" w:hAnsi="Times New Roman"/>
          <w:sz w:val="20"/>
          <w:szCs w:val="20"/>
        </w:rPr>
        <w:t xml:space="preserve">  </w:t>
      </w:r>
    </w:p>
    <w:p w14:paraId="48672142" w14:textId="372629F9" w:rsidR="00164899" w:rsidRDefault="00946304">
      <w:pPr>
        <w:spacing w:after="0" w:line="240" w:lineRule="auto"/>
        <w:jc w:val="center"/>
        <w:rPr>
          <w:rFonts w:ascii="Times New Roman" w:hAnsi="Times New Roman"/>
          <w:sz w:val="20"/>
          <w:szCs w:val="20"/>
        </w:rPr>
      </w:pPr>
      <w:r>
        <w:rPr>
          <w:rFonts w:ascii="Times New Roman" w:hAnsi="Times New Roman"/>
          <w:sz w:val="20"/>
          <w:szCs w:val="20"/>
        </w:rPr>
        <w:t>Volume</w:t>
      </w:r>
      <w:r w:rsidR="00E35A9B">
        <w:rPr>
          <w:rFonts w:ascii="Times New Roman" w:hAnsi="Times New Roman"/>
          <w:sz w:val="20"/>
          <w:szCs w:val="20"/>
        </w:rPr>
        <w:t xml:space="preserve"> 20, Number 1, Jun</w:t>
      </w:r>
      <w:r w:rsidR="001C0CF2">
        <w:rPr>
          <w:rFonts w:ascii="Times New Roman" w:hAnsi="Times New Roman"/>
          <w:sz w:val="20"/>
          <w:szCs w:val="20"/>
        </w:rPr>
        <w:t>i</w:t>
      </w:r>
      <w:r w:rsidR="00E35A9B">
        <w:rPr>
          <w:rFonts w:ascii="Times New Roman" w:hAnsi="Times New Roman"/>
          <w:sz w:val="20"/>
          <w:szCs w:val="20"/>
        </w:rPr>
        <w:t>,</w:t>
      </w:r>
      <w:r w:rsidR="001C0CF2">
        <w:rPr>
          <w:rFonts w:ascii="Times New Roman" w:hAnsi="Times New Roman"/>
          <w:sz w:val="20"/>
          <w:szCs w:val="20"/>
        </w:rPr>
        <w:t xml:space="preserve"> 2025 Page 1-12</w:t>
      </w:r>
    </w:p>
    <w:p w14:paraId="3773CF32" w14:textId="77777777" w:rsidR="00164899" w:rsidRDefault="00946304">
      <w:pPr>
        <w:spacing w:after="0" w:line="240" w:lineRule="auto"/>
        <w:jc w:val="center"/>
        <w:rPr>
          <w:rFonts w:ascii="Times New Roman" w:hAnsi="Times New Roman"/>
          <w:sz w:val="20"/>
          <w:szCs w:val="20"/>
        </w:rPr>
      </w:pPr>
      <w:r>
        <w:rPr>
          <w:rFonts w:ascii="Times New Roman" w:hAnsi="Times New Roman"/>
          <w:sz w:val="20"/>
          <w:szCs w:val="20"/>
        </w:rPr>
        <w:t xml:space="preserve">DOI: </w:t>
      </w:r>
      <w:hyperlink r:id="rId12">
        <w:r>
          <w:rPr>
            <w:rFonts w:ascii="Times New Roman" w:hAnsi="Times New Roman"/>
            <w:color w:val="0000FF"/>
            <w:sz w:val="20"/>
            <w:szCs w:val="20"/>
            <w:highlight w:val="white"/>
          </w:rPr>
          <w:t>10.24042/bu.</w:t>
        </w:r>
      </w:hyperlink>
      <w:r>
        <w:rPr>
          <w:rFonts w:ascii="Times New Roman" w:hAnsi="Times New Roman"/>
          <w:sz w:val="20"/>
          <w:szCs w:val="20"/>
        </w:rPr>
        <w:t xml:space="preserve"> </w:t>
      </w:r>
    </w:p>
    <w:p w14:paraId="70E0926B" w14:textId="77777777" w:rsidR="00164899" w:rsidRDefault="00164899">
      <w:pPr>
        <w:spacing w:after="0" w:line="300" w:lineRule="auto"/>
        <w:jc w:val="center"/>
        <w:rPr>
          <w:rFonts w:ascii="Times New Roman" w:hAnsi="Times New Roman"/>
          <w:b/>
          <w:sz w:val="20"/>
          <w:szCs w:val="20"/>
        </w:rPr>
      </w:pPr>
    </w:p>
    <w:p w14:paraId="725E0A3B" w14:textId="77777777" w:rsidR="00164899" w:rsidRDefault="00164899">
      <w:pPr>
        <w:spacing w:after="0" w:line="300" w:lineRule="auto"/>
        <w:jc w:val="center"/>
        <w:rPr>
          <w:rFonts w:ascii="Times New Roman" w:hAnsi="Times New Roman"/>
          <w:b/>
          <w:sz w:val="20"/>
          <w:szCs w:val="20"/>
        </w:rPr>
      </w:pPr>
      <w:bookmarkStart w:id="0" w:name="_GoBack"/>
      <w:bookmarkEnd w:id="0"/>
    </w:p>
    <w:p w14:paraId="5B819EA3" w14:textId="6CA5139B" w:rsidR="00164899" w:rsidRPr="00646142" w:rsidRDefault="004859EE" w:rsidP="00646142">
      <w:pPr>
        <w:spacing w:after="0" w:line="300" w:lineRule="auto"/>
        <w:jc w:val="center"/>
        <w:rPr>
          <w:rFonts w:ascii="Times New Roman" w:hAnsi="Times New Roman"/>
          <w:b/>
          <w:sz w:val="20"/>
          <w:szCs w:val="20"/>
        </w:rPr>
      </w:pPr>
      <w:r>
        <w:rPr>
          <w:rFonts w:ascii="Times New Roman" w:hAnsi="Times New Roman"/>
          <w:b/>
          <w:sz w:val="20"/>
          <w:szCs w:val="20"/>
        </w:rPr>
        <w:t>Filsafat Logika Keilmuan Sebagai Landasan Integrasi-Interkoneksi Bimbingan Konseling Islam</w:t>
      </w:r>
    </w:p>
    <w:p w14:paraId="16AFC4CF" w14:textId="77777777" w:rsidR="00164899" w:rsidRDefault="00164899">
      <w:pPr>
        <w:spacing w:after="0" w:line="240" w:lineRule="auto"/>
        <w:jc w:val="center"/>
        <w:rPr>
          <w:rFonts w:ascii="Times New Roman" w:hAnsi="Times New Roman"/>
          <w:b/>
          <w:sz w:val="20"/>
          <w:szCs w:val="20"/>
        </w:rPr>
      </w:pPr>
    </w:p>
    <w:p w14:paraId="701DFAC2" w14:textId="77777777" w:rsidR="00164899" w:rsidRDefault="00946304">
      <w:pPr>
        <w:spacing w:after="0" w:line="240" w:lineRule="auto"/>
        <w:jc w:val="center"/>
        <w:rPr>
          <w:rFonts w:ascii="Times New Roman" w:hAnsi="Times New Roman"/>
          <w:b/>
          <w:sz w:val="20"/>
          <w:szCs w:val="20"/>
        </w:rPr>
      </w:pPr>
      <w:r>
        <w:rPr>
          <w:noProof/>
          <w:lang w:eastAsia="en-US"/>
        </w:rPr>
        <mc:AlternateContent>
          <mc:Choice Requires="wpg">
            <w:drawing>
              <wp:anchor distT="4294967295" distB="4294967295" distL="114300" distR="114300" simplePos="0" relativeHeight="251659264" behindDoc="0" locked="0" layoutInCell="1" hidden="0" allowOverlap="1" wp14:anchorId="5D5FF1E6" wp14:editId="44CFE7E9">
                <wp:simplePos x="0" y="0"/>
                <wp:positionH relativeFrom="column">
                  <wp:posOffset>1104900</wp:posOffset>
                </wp:positionH>
                <wp:positionV relativeFrom="paragraph">
                  <wp:posOffset>132096</wp:posOffset>
                </wp:positionV>
                <wp:extent cx="182880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1104900</wp:posOffset>
                </wp:positionH>
                <wp:positionV relativeFrom="paragraph">
                  <wp:posOffset>132096</wp:posOffset>
                </wp:positionV>
                <wp:extent cx="1828800" cy="12700"/>
                <wp:effectExtent b="0" l="0" r="0" t="0"/>
                <wp:wrapNone/>
                <wp:docPr id="8"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828800" cy="12700"/>
                        </a:xfrm>
                        <a:prstGeom prst="rect"/>
                        <a:ln/>
                      </pic:spPr>
                    </pic:pic>
                  </a:graphicData>
                </a:graphic>
              </wp:anchor>
            </w:drawing>
          </mc:Fallback>
        </mc:AlternateContent>
      </w:r>
    </w:p>
    <w:p w14:paraId="4929E235" w14:textId="516F95BC" w:rsidR="00164899" w:rsidRDefault="004859EE">
      <w:pPr>
        <w:spacing w:after="0" w:line="240" w:lineRule="auto"/>
        <w:jc w:val="center"/>
        <w:rPr>
          <w:rFonts w:ascii="Times New Roman" w:hAnsi="Times New Roman"/>
          <w:color w:val="FF0000"/>
          <w:sz w:val="20"/>
          <w:szCs w:val="20"/>
        </w:rPr>
      </w:pPr>
      <w:r>
        <w:rPr>
          <w:rFonts w:ascii="Times New Roman" w:hAnsi="Times New Roman"/>
          <w:b/>
          <w:sz w:val="20"/>
          <w:szCs w:val="20"/>
        </w:rPr>
        <w:t>Muhammad Ikhsan Fuadi</w:t>
      </w:r>
    </w:p>
    <w:p w14:paraId="66D7DD4C" w14:textId="507B35A0" w:rsidR="00164899" w:rsidRDefault="00386C8E">
      <w:pPr>
        <w:spacing w:after="0" w:line="240" w:lineRule="auto"/>
        <w:jc w:val="center"/>
        <w:rPr>
          <w:rFonts w:ascii="Times New Roman" w:hAnsi="Times New Roman"/>
          <w:sz w:val="20"/>
          <w:szCs w:val="20"/>
        </w:rPr>
      </w:pPr>
      <w:r>
        <w:rPr>
          <w:rFonts w:ascii="Times New Roman" w:hAnsi="Times New Roman"/>
          <w:sz w:val="20"/>
          <w:szCs w:val="20"/>
        </w:rPr>
        <w:t>Universitas Islam Negeri Sunan Kalijaga Yogyakarta, Indonesia</w:t>
      </w:r>
    </w:p>
    <w:p w14:paraId="0251A8D8" w14:textId="6DB61A8B" w:rsidR="00164899" w:rsidRPr="00F26DB6" w:rsidRDefault="00CD02F5">
      <w:pPr>
        <w:spacing w:after="0" w:line="240" w:lineRule="auto"/>
        <w:jc w:val="center"/>
        <w:rPr>
          <w:rFonts w:ascii="Times New Roman" w:hAnsi="Times New Roman"/>
          <w:color w:val="FF0000"/>
          <w:sz w:val="20"/>
          <w:szCs w:val="20"/>
        </w:rPr>
      </w:pPr>
      <w:hyperlink r:id="rId14" w:history="1">
        <w:r w:rsidRPr="00F26DB6">
          <w:rPr>
            <w:rStyle w:val="Hyperlink"/>
            <w:rFonts w:ascii="Times New Roman" w:hAnsi="Times New Roman"/>
            <w:sz w:val="20"/>
            <w:szCs w:val="20"/>
          </w:rPr>
          <w:t>ikhsann664@gmail.com</w:t>
        </w:r>
      </w:hyperlink>
      <w:r w:rsidRPr="00F26DB6">
        <w:rPr>
          <w:rFonts w:ascii="Times New Roman" w:hAnsi="Times New Roman"/>
          <w:sz w:val="20"/>
          <w:szCs w:val="20"/>
        </w:rPr>
        <w:t xml:space="preserve"> </w:t>
      </w:r>
    </w:p>
    <w:p w14:paraId="11C72017" w14:textId="77777777" w:rsidR="00164899" w:rsidRDefault="00164899">
      <w:pPr>
        <w:spacing w:after="0" w:line="240" w:lineRule="auto"/>
        <w:jc w:val="center"/>
        <w:rPr>
          <w:rFonts w:ascii="Times New Roman" w:hAnsi="Times New Roman"/>
          <w:color w:val="FF0000"/>
          <w:sz w:val="20"/>
          <w:szCs w:val="20"/>
        </w:rPr>
      </w:pPr>
    </w:p>
    <w:p w14:paraId="1F26DFFC" w14:textId="30BF8ED0" w:rsidR="00164899" w:rsidRDefault="004859EE">
      <w:pPr>
        <w:spacing w:after="0" w:line="240" w:lineRule="auto"/>
        <w:jc w:val="center"/>
        <w:rPr>
          <w:rFonts w:ascii="Times New Roman" w:hAnsi="Times New Roman"/>
          <w:b/>
          <w:sz w:val="20"/>
          <w:szCs w:val="20"/>
        </w:rPr>
      </w:pPr>
      <w:r>
        <w:rPr>
          <w:rFonts w:ascii="Times New Roman" w:hAnsi="Times New Roman"/>
          <w:b/>
          <w:sz w:val="20"/>
          <w:szCs w:val="20"/>
        </w:rPr>
        <w:t>Irsyadunnas</w:t>
      </w:r>
    </w:p>
    <w:p w14:paraId="316B97EC" w14:textId="0D86890D" w:rsidR="00164899" w:rsidRDefault="00386C8E">
      <w:pPr>
        <w:spacing w:after="0" w:line="240" w:lineRule="auto"/>
        <w:jc w:val="center"/>
        <w:rPr>
          <w:rFonts w:ascii="Times New Roman" w:hAnsi="Times New Roman"/>
          <w:sz w:val="20"/>
          <w:szCs w:val="20"/>
        </w:rPr>
      </w:pPr>
      <w:r>
        <w:rPr>
          <w:rFonts w:ascii="Times New Roman" w:hAnsi="Times New Roman"/>
          <w:sz w:val="20"/>
          <w:szCs w:val="20"/>
        </w:rPr>
        <w:t>Universitas Islam Negeri Sunan Kalijaga Yogyakarta, Indonesia</w:t>
      </w:r>
    </w:p>
    <w:p w14:paraId="07AFF641" w14:textId="412E3A01" w:rsidR="00164899" w:rsidRPr="00F26DB6" w:rsidRDefault="00CD02F5">
      <w:pPr>
        <w:spacing w:after="0" w:line="240" w:lineRule="auto"/>
        <w:jc w:val="center"/>
        <w:rPr>
          <w:rFonts w:ascii="Times New Roman" w:hAnsi="Times New Roman"/>
          <w:sz w:val="20"/>
          <w:szCs w:val="20"/>
        </w:rPr>
      </w:pPr>
      <w:hyperlink r:id="rId15" w:history="1">
        <w:r w:rsidRPr="00F26DB6">
          <w:rPr>
            <w:rStyle w:val="Hyperlink"/>
            <w:rFonts w:ascii="Times New Roman" w:hAnsi="Times New Roman"/>
            <w:sz w:val="20"/>
            <w:szCs w:val="20"/>
          </w:rPr>
          <w:t>irsyadunnas@uin-suka.ac.id</w:t>
        </w:r>
      </w:hyperlink>
      <w:r w:rsidRPr="00F26DB6">
        <w:rPr>
          <w:rFonts w:ascii="Times New Roman" w:hAnsi="Times New Roman"/>
          <w:sz w:val="20"/>
          <w:szCs w:val="20"/>
        </w:rPr>
        <w:t xml:space="preserve"> </w:t>
      </w:r>
    </w:p>
    <w:p w14:paraId="08D78E38" w14:textId="77777777" w:rsidR="00164899" w:rsidRDefault="00164899">
      <w:pPr>
        <w:spacing w:after="0" w:line="300" w:lineRule="auto"/>
        <w:jc w:val="both"/>
        <w:rPr>
          <w:rFonts w:ascii="Times New Roman" w:hAnsi="Times New Roman"/>
          <w:b/>
          <w:sz w:val="20"/>
          <w:szCs w:val="20"/>
        </w:rPr>
      </w:pPr>
    </w:p>
    <w:p w14:paraId="5077BB88" w14:textId="77777777" w:rsidR="00164899" w:rsidRDefault="00946304">
      <w:pPr>
        <w:spacing w:after="120" w:line="300" w:lineRule="auto"/>
        <w:rPr>
          <w:rFonts w:ascii="Times New Roman" w:hAnsi="Times New Roman"/>
          <w:b/>
          <w:sz w:val="20"/>
          <w:szCs w:val="20"/>
        </w:rPr>
      </w:pPr>
      <w:r>
        <w:rPr>
          <w:rFonts w:ascii="Times New Roman" w:hAnsi="Times New Roman"/>
          <w:b/>
          <w:sz w:val="20"/>
          <w:szCs w:val="20"/>
        </w:rPr>
        <w:t>Abstract</w:t>
      </w:r>
    </w:p>
    <w:p w14:paraId="1C622B4C" w14:textId="73D3B944" w:rsidR="00164899" w:rsidRPr="001F0D14" w:rsidRDefault="004859EE" w:rsidP="001F0D14">
      <w:pPr>
        <w:pStyle w:val="TableParagraph"/>
        <w:ind w:left="426" w:right="104"/>
        <w:jc w:val="both"/>
        <w:rPr>
          <w:rFonts w:ascii="Times New Roman" w:hAnsi="Times New Roman"/>
          <w:iCs/>
          <w:sz w:val="20"/>
          <w:szCs w:val="20"/>
        </w:rPr>
      </w:pPr>
      <w:r w:rsidRPr="004859EE">
        <w:rPr>
          <w:rFonts w:ascii="Times New Roman" w:hAnsi="Times New Roman" w:cs="Times New Roman"/>
          <w:iCs/>
          <w:sz w:val="20"/>
          <w:szCs w:val="20"/>
        </w:rPr>
        <w:t xml:space="preserve">This </w:t>
      </w:r>
      <w:proofErr w:type="gramStart"/>
      <w:r w:rsidR="00DE56D8" w:rsidRPr="00DE56D8">
        <w:rPr>
          <w:rFonts w:ascii="Times New Roman" w:hAnsi="Times New Roman"/>
          <w:iCs/>
          <w:sz w:val="20"/>
          <w:szCs w:val="20"/>
        </w:rPr>
        <w:t>This</w:t>
      </w:r>
      <w:proofErr w:type="gramEnd"/>
      <w:r w:rsidR="00DE56D8" w:rsidRPr="00DE56D8">
        <w:rPr>
          <w:rFonts w:ascii="Times New Roman" w:hAnsi="Times New Roman"/>
          <w:iCs/>
          <w:sz w:val="20"/>
          <w:szCs w:val="20"/>
        </w:rPr>
        <w:t xml:space="preserve"> study explores how the philosophy of scientific logic serves as the foundational basis for integration</w:t>
      </w:r>
      <w:r w:rsidR="00DE56D8" w:rsidRPr="00DE56D8">
        <w:rPr>
          <w:rFonts w:ascii="Times New Roman" w:hAnsi="Times New Roman"/>
          <w:iCs/>
          <w:sz w:val="20"/>
          <w:szCs w:val="20"/>
        </w:rPr>
        <w:noBreakHyphen/>
        <w:t>interconnection within Islamic Guidance and Counseling (IGC). By examining its epistemological and logical framework, the research reveals a holistic paradigm that harmonizes normative</w:t>
      </w:r>
      <w:r w:rsidR="00DE56D8" w:rsidRPr="00DE56D8">
        <w:rPr>
          <w:rFonts w:ascii="Times New Roman" w:hAnsi="Times New Roman"/>
          <w:iCs/>
          <w:sz w:val="20"/>
          <w:szCs w:val="20"/>
        </w:rPr>
        <w:noBreakHyphen/>
        <w:t>spiritual Islamic values with the rational</w:t>
      </w:r>
      <w:r w:rsidR="00DE56D8" w:rsidRPr="00DE56D8">
        <w:rPr>
          <w:rFonts w:ascii="Times New Roman" w:hAnsi="Times New Roman"/>
          <w:iCs/>
          <w:sz w:val="20"/>
          <w:szCs w:val="20"/>
        </w:rPr>
        <w:noBreakHyphen/>
        <w:t>empirical principles of modern counseling.</w:t>
      </w:r>
      <w:r w:rsidR="00DE56D8">
        <w:rPr>
          <w:rFonts w:ascii="Times New Roman" w:hAnsi="Times New Roman"/>
          <w:iCs/>
          <w:sz w:val="20"/>
          <w:szCs w:val="20"/>
        </w:rPr>
        <w:t xml:space="preserve"> </w:t>
      </w:r>
      <w:r w:rsidR="00DE56D8" w:rsidRPr="00DE56D8">
        <w:rPr>
          <w:rFonts w:ascii="Times New Roman" w:hAnsi="Times New Roman"/>
          <w:iCs/>
          <w:sz w:val="20"/>
          <w:szCs w:val="20"/>
        </w:rPr>
        <w:t>Using a qualitative library research approach, key reference books, national and international journals, and relevant academic literature on the philosophy of science, logic, and IGC were purposively selected. The literature was identified, reviewed in depth, and analyzed through Creswell’s stages of qualitative analysis: deep reading for initial insight; coding of significant information units; thematic grouping of codes; and interpretation of themes to uncover the role of scientific logic in shaping an integrative and interconnected counseling paradigm.</w:t>
      </w:r>
      <w:r w:rsidR="00DE56D8">
        <w:rPr>
          <w:rFonts w:ascii="Times New Roman" w:hAnsi="Times New Roman"/>
          <w:iCs/>
          <w:sz w:val="20"/>
          <w:szCs w:val="20"/>
        </w:rPr>
        <w:t xml:space="preserve"> </w:t>
      </w:r>
      <w:r w:rsidR="00DE56D8" w:rsidRPr="00DE56D8">
        <w:rPr>
          <w:rFonts w:ascii="Times New Roman" w:hAnsi="Times New Roman"/>
          <w:iCs/>
          <w:sz w:val="20"/>
          <w:szCs w:val="20"/>
        </w:rPr>
        <w:t>Findings demonstrate that framing IGC through the lens of scientific logic restructures the relationship between contemporary counseling methods and Islamic values. Addressing ontological, epistemological, and axiological dimensions ensures consistency, validity, and coherence, enabling counseling to engage clients’ psychological, spiritual, and cultural dimensions fully. Integration</w:t>
      </w:r>
      <w:r w:rsidR="00DE56D8" w:rsidRPr="00DE56D8">
        <w:rPr>
          <w:rFonts w:ascii="Times New Roman" w:hAnsi="Times New Roman"/>
          <w:iCs/>
          <w:sz w:val="20"/>
          <w:szCs w:val="20"/>
        </w:rPr>
        <w:noBreakHyphen/>
        <w:t xml:space="preserve">interconnection thus transcends technical combination, reconstructing IGC’s epistemological foundation to be holistic, </w:t>
      </w:r>
      <w:r w:rsidR="00DE56D8" w:rsidRPr="00DE56D8">
        <w:rPr>
          <w:rFonts w:ascii="Times New Roman" w:hAnsi="Times New Roman"/>
          <w:iCs/>
          <w:sz w:val="20"/>
          <w:szCs w:val="20"/>
        </w:rPr>
        <w:lastRenderedPageBreak/>
        <w:t>transformative, and context-sensitive. The philosophy of scientific logic emerges as a strategic catalyst for developing a coherent and sustainable IGC framework.</w:t>
      </w:r>
    </w:p>
    <w:p w14:paraId="5F4D5A6C" w14:textId="434AAC0A" w:rsidR="00F65FAD" w:rsidRPr="00F65FAD" w:rsidRDefault="00946304" w:rsidP="00657636">
      <w:pPr>
        <w:spacing w:before="120" w:after="0" w:line="240" w:lineRule="auto"/>
        <w:jc w:val="both"/>
        <w:rPr>
          <w:rFonts w:ascii="Times New Roman" w:hAnsi="Times New Roman"/>
          <w:b/>
          <w:sz w:val="20"/>
          <w:szCs w:val="20"/>
        </w:rPr>
      </w:pPr>
      <w:r>
        <w:rPr>
          <w:rFonts w:ascii="Times New Roman" w:hAnsi="Times New Roman"/>
          <w:b/>
          <w:sz w:val="20"/>
          <w:szCs w:val="20"/>
        </w:rPr>
        <w:t xml:space="preserve">Keywords: </w:t>
      </w:r>
      <w:r w:rsidR="00F65FAD">
        <w:rPr>
          <w:rFonts w:ascii="Times New Roman" w:hAnsi="Times New Roman"/>
          <w:b/>
          <w:sz w:val="20"/>
          <w:szCs w:val="20"/>
        </w:rPr>
        <w:t xml:space="preserve"> </w:t>
      </w:r>
      <w:r w:rsidR="00F65FAD" w:rsidRPr="00657636">
        <w:rPr>
          <w:rFonts w:ascii="Times New Roman" w:hAnsi="Times New Roman"/>
          <w:i/>
          <w:iCs/>
          <w:sz w:val="20"/>
          <w:szCs w:val="20"/>
        </w:rPr>
        <w:t>Integration-interconnection</w:t>
      </w:r>
      <w:r w:rsidR="00F65FAD">
        <w:rPr>
          <w:rFonts w:ascii="Times New Roman" w:hAnsi="Times New Roman"/>
          <w:i/>
          <w:iCs/>
          <w:sz w:val="20"/>
          <w:szCs w:val="20"/>
        </w:rPr>
        <w:t>,</w:t>
      </w:r>
      <w:r w:rsidR="00F65FAD">
        <w:rPr>
          <w:rFonts w:ascii="Times New Roman" w:hAnsi="Times New Roman"/>
          <w:b/>
          <w:sz w:val="20"/>
          <w:szCs w:val="20"/>
        </w:rPr>
        <w:t xml:space="preserve"> </w:t>
      </w:r>
      <w:r w:rsidR="00F65FAD" w:rsidRPr="00657636">
        <w:rPr>
          <w:rFonts w:ascii="Times New Roman" w:hAnsi="Times New Roman"/>
          <w:i/>
          <w:iCs/>
          <w:sz w:val="20"/>
          <w:szCs w:val="20"/>
        </w:rPr>
        <w:t>Islamic Counseling, Philosophy,</w:t>
      </w:r>
      <w:r w:rsidR="00F65FAD">
        <w:rPr>
          <w:rFonts w:ascii="Times New Roman" w:hAnsi="Times New Roman"/>
          <w:b/>
          <w:sz w:val="20"/>
          <w:szCs w:val="20"/>
        </w:rPr>
        <w:t xml:space="preserve"> </w:t>
      </w:r>
      <w:r w:rsidR="00F65FAD" w:rsidRPr="00657636">
        <w:rPr>
          <w:rFonts w:ascii="Times New Roman" w:hAnsi="Times New Roman"/>
          <w:i/>
          <w:iCs/>
          <w:sz w:val="20"/>
          <w:szCs w:val="20"/>
        </w:rPr>
        <w:t xml:space="preserve">Scientific Logic </w:t>
      </w:r>
    </w:p>
    <w:p w14:paraId="55E4921D" w14:textId="77777777" w:rsidR="00657636" w:rsidRDefault="00657636" w:rsidP="004C7DEE">
      <w:pPr>
        <w:spacing w:after="120" w:line="300" w:lineRule="auto"/>
        <w:rPr>
          <w:rFonts w:ascii="Times New Roman" w:hAnsi="Times New Roman"/>
          <w:b/>
          <w:sz w:val="20"/>
          <w:szCs w:val="20"/>
        </w:rPr>
      </w:pPr>
    </w:p>
    <w:p w14:paraId="5FF305CE" w14:textId="77777777" w:rsidR="00164899" w:rsidRDefault="00164899">
      <w:pPr>
        <w:spacing w:after="60" w:line="280" w:lineRule="auto"/>
        <w:jc w:val="center"/>
        <w:rPr>
          <w:rFonts w:ascii="Times New Roman" w:hAnsi="Times New Roman"/>
          <w:b/>
          <w:sz w:val="20"/>
          <w:szCs w:val="20"/>
        </w:rPr>
      </w:pPr>
    </w:p>
    <w:p w14:paraId="0932A9BF" w14:textId="7D605830" w:rsidR="00164899" w:rsidRDefault="004C7DEE">
      <w:pPr>
        <w:numPr>
          <w:ilvl w:val="0"/>
          <w:numId w:val="1"/>
        </w:numPr>
        <w:pBdr>
          <w:top w:val="nil"/>
          <w:left w:val="nil"/>
          <w:bottom w:val="nil"/>
          <w:right w:val="nil"/>
          <w:between w:val="nil"/>
        </w:pBdr>
        <w:spacing w:after="60" w:line="280" w:lineRule="auto"/>
        <w:ind w:left="425" w:hanging="425"/>
        <w:rPr>
          <w:rFonts w:ascii="Times New Roman" w:hAnsi="Times New Roman"/>
          <w:b/>
          <w:color w:val="000000"/>
          <w:sz w:val="20"/>
          <w:szCs w:val="20"/>
        </w:rPr>
      </w:pPr>
      <w:r>
        <w:rPr>
          <w:rFonts w:ascii="Times New Roman" w:hAnsi="Times New Roman"/>
          <w:b/>
          <w:color w:val="000000"/>
          <w:sz w:val="20"/>
          <w:szCs w:val="20"/>
        </w:rPr>
        <w:t>Pendahuluan</w:t>
      </w:r>
    </w:p>
    <w:p w14:paraId="066DAF59" w14:textId="7B0280BD" w:rsidR="00871D7E" w:rsidRPr="00871D7E" w:rsidRDefault="00871D7E" w:rsidP="00871D7E">
      <w:pPr>
        <w:spacing w:line="280" w:lineRule="auto"/>
        <w:ind w:firstLine="709"/>
        <w:jc w:val="both"/>
        <w:rPr>
          <w:rFonts w:ascii="Times New Roman" w:hAnsi="Times New Roman"/>
          <w:sz w:val="20"/>
          <w:szCs w:val="20"/>
        </w:rPr>
      </w:pPr>
      <w:proofErr w:type="gramStart"/>
      <w:r w:rsidRPr="00871D7E">
        <w:rPr>
          <w:rFonts w:ascii="Times New Roman" w:hAnsi="Times New Roman"/>
          <w:sz w:val="20"/>
          <w:szCs w:val="20"/>
        </w:rPr>
        <w:t>Dalam lanskap keilmuan modern yang kian kompleks dan interdisipliner, terdapat kebutuhan mendesak untuk membangun fondasi epistemologis yang kokoh bagi setiap disiplin ilmu, termasuk dalam ranah Bimbingan Konseling Islam (BKI).</w:t>
      </w:r>
      <w:proofErr w:type="gramEnd"/>
      <w:r w:rsidRPr="00871D7E">
        <w:rPr>
          <w:rFonts w:ascii="Times New Roman" w:hAnsi="Times New Roman"/>
          <w:sz w:val="20"/>
          <w:szCs w:val="20"/>
        </w:rPr>
        <w:t xml:space="preserve"> </w:t>
      </w:r>
      <w:proofErr w:type="gramStart"/>
      <w:r w:rsidRPr="00871D7E">
        <w:rPr>
          <w:rFonts w:ascii="Times New Roman" w:hAnsi="Times New Roman"/>
          <w:sz w:val="20"/>
          <w:szCs w:val="20"/>
        </w:rPr>
        <w:t>BKI tidak hanya menempati ruang praktis dalam membantu individu mengatasi persoalan psikologis dan spiritual, tetapi juga mengemban tanggung jawab intelektual dalam meletakkan kerangka filosofis dan logis terhadap praktik dan metodologinya</w:t>
      </w:r>
      <w:r w:rsidR="00EF3186">
        <w:rPr>
          <w:rFonts w:ascii="Times New Roman" w:hAnsi="Times New Roman"/>
          <w:sz w:val="20"/>
          <w:szCs w:val="20"/>
        </w:rPr>
        <w:t>.</w:t>
      </w:r>
      <w:proofErr w:type="gramEnd"/>
      <w:r w:rsidR="00EF3186">
        <w:rPr>
          <w:rFonts w:ascii="Times New Roman" w:hAnsi="Times New Roman"/>
          <w:sz w:val="20"/>
          <w:szCs w:val="20"/>
        </w:rPr>
        <w:t xml:space="preserve"> </w:t>
      </w:r>
      <w:r w:rsidR="00EF3186">
        <w:rPr>
          <w:rStyle w:val="FootnoteReference"/>
          <w:rFonts w:ascii="Times New Roman" w:hAnsi="Times New Roman"/>
          <w:sz w:val="20"/>
          <w:szCs w:val="20"/>
        </w:rPr>
        <w:footnoteReference w:id="1"/>
      </w:r>
      <w:r w:rsidRPr="00871D7E">
        <w:rPr>
          <w:rFonts w:ascii="Times New Roman" w:hAnsi="Times New Roman"/>
          <w:sz w:val="20"/>
          <w:szCs w:val="20"/>
        </w:rPr>
        <w:t xml:space="preserve"> </w:t>
      </w:r>
      <w:proofErr w:type="gramStart"/>
      <w:r w:rsidRPr="00871D7E">
        <w:rPr>
          <w:rFonts w:ascii="Times New Roman" w:hAnsi="Times New Roman"/>
          <w:sz w:val="20"/>
          <w:szCs w:val="20"/>
        </w:rPr>
        <w:t>Dalam konteks inilah, filsafat logika keilmuan menjadi urgen sebagai landasan integratif yang memungkinkan terjadinya interkoneksi antara nilai-nilai keislaman dengan pendekatan keilmuan yang sistematis dan rasional.</w:t>
      </w:r>
      <w:proofErr w:type="gramEnd"/>
      <w:r w:rsidR="00EF3186">
        <w:rPr>
          <w:rStyle w:val="FootnoteReference"/>
          <w:rFonts w:ascii="Times New Roman" w:hAnsi="Times New Roman"/>
          <w:sz w:val="20"/>
          <w:szCs w:val="20"/>
        </w:rPr>
        <w:footnoteReference w:id="2"/>
      </w:r>
      <w:r w:rsidR="000E7C0B">
        <w:rPr>
          <w:rFonts w:ascii="Times New Roman" w:hAnsi="Times New Roman"/>
          <w:sz w:val="20"/>
          <w:szCs w:val="20"/>
        </w:rPr>
        <w:t xml:space="preserve"> </w:t>
      </w:r>
      <w:r w:rsidRPr="00871D7E">
        <w:rPr>
          <w:rFonts w:ascii="Times New Roman" w:hAnsi="Times New Roman"/>
          <w:sz w:val="20"/>
          <w:szCs w:val="20"/>
        </w:rPr>
        <w:t xml:space="preserve">Logika keilmuan sebagai bagian dari filsafat ilmu tidak hanya membahas kaidah berpikir benar, tetapi juga menjembatani antara </w:t>
      </w:r>
      <w:proofErr w:type="gramStart"/>
      <w:r w:rsidRPr="00871D7E">
        <w:rPr>
          <w:rFonts w:ascii="Times New Roman" w:hAnsi="Times New Roman"/>
          <w:sz w:val="20"/>
          <w:szCs w:val="20"/>
        </w:rPr>
        <w:t>cara</w:t>
      </w:r>
      <w:proofErr w:type="gramEnd"/>
      <w:r w:rsidRPr="00871D7E">
        <w:rPr>
          <w:rFonts w:ascii="Times New Roman" w:hAnsi="Times New Roman"/>
          <w:sz w:val="20"/>
          <w:szCs w:val="20"/>
        </w:rPr>
        <w:t xml:space="preserve"> berpikir ilmiah dengan nilai-nilai substansial dari suatu tradisi keilmuan, termasuk Islam.</w:t>
      </w:r>
      <w:r w:rsidR="00EF3186">
        <w:rPr>
          <w:rStyle w:val="FootnoteReference"/>
          <w:rFonts w:ascii="Times New Roman" w:hAnsi="Times New Roman"/>
          <w:sz w:val="20"/>
          <w:szCs w:val="20"/>
        </w:rPr>
        <w:footnoteReference w:id="3"/>
      </w:r>
      <w:r w:rsidRPr="00871D7E">
        <w:rPr>
          <w:rFonts w:ascii="Times New Roman" w:hAnsi="Times New Roman"/>
          <w:sz w:val="20"/>
          <w:szCs w:val="20"/>
        </w:rPr>
        <w:t xml:space="preserve"> Maka dari itu, untuk menjawab tantangan integrasi antara aspek normatif (agama) dan aspek rasional-empiris (ilmu), pendekatan filsafat logika menjadi kunci dalam membangun sistem Bimbingan Konseling Islam yang tidak bersifat dikotomis, tetapi holistik dan transformatif.</w:t>
      </w:r>
    </w:p>
    <w:p w14:paraId="58BB0A20" w14:textId="34FD55C2" w:rsidR="00871D7E" w:rsidRPr="00871D7E" w:rsidRDefault="000E7C0B" w:rsidP="00871D7E">
      <w:pPr>
        <w:spacing w:line="280" w:lineRule="auto"/>
        <w:ind w:firstLine="709"/>
        <w:jc w:val="both"/>
        <w:rPr>
          <w:rFonts w:ascii="Times New Roman" w:hAnsi="Times New Roman"/>
          <w:sz w:val="20"/>
          <w:szCs w:val="20"/>
        </w:rPr>
      </w:pPr>
      <w:r>
        <w:rPr>
          <w:rFonts w:ascii="Times New Roman" w:hAnsi="Times New Roman"/>
          <w:sz w:val="20"/>
          <w:szCs w:val="20"/>
        </w:rPr>
        <w:t>Adapun beberapa alasan yang</w:t>
      </w:r>
      <w:r w:rsidR="00EF3186">
        <w:rPr>
          <w:rFonts w:ascii="Times New Roman" w:hAnsi="Times New Roman"/>
          <w:sz w:val="20"/>
          <w:szCs w:val="20"/>
        </w:rPr>
        <w:t xml:space="preserve"> mendasari</w:t>
      </w:r>
      <w:r>
        <w:rPr>
          <w:rFonts w:ascii="Times New Roman" w:hAnsi="Times New Roman"/>
          <w:sz w:val="20"/>
          <w:szCs w:val="20"/>
        </w:rPr>
        <w:t xml:space="preserve"> fenomena tersebut </w:t>
      </w:r>
      <w:proofErr w:type="gramStart"/>
      <w:r>
        <w:rPr>
          <w:rFonts w:ascii="Times New Roman" w:hAnsi="Times New Roman"/>
          <w:sz w:val="20"/>
          <w:szCs w:val="20"/>
        </w:rPr>
        <w:t>yakni :</w:t>
      </w:r>
      <w:proofErr w:type="gramEnd"/>
      <w:r>
        <w:rPr>
          <w:rFonts w:ascii="Times New Roman" w:hAnsi="Times New Roman"/>
          <w:sz w:val="20"/>
          <w:szCs w:val="20"/>
        </w:rPr>
        <w:t xml:space="preserve"> p</w:t>
      </w:r>
      <w:r w:rsidR="00871D7E" w:rsidRPr="00871D7E">
        <w:rPr>
          <w:rFonts w:ascii="Times New Roman" w:hAnsi="Times New Roman"/>
          <w:sz w:val="20"/>
          <w:szCs w:val="20"/>
        </w:rPr>
        <w:t>ertama, dikotomi antara ilmu agama dan ilmu umum telah lama menjadi persoalan klasik dalam dunia pendidikan dan pengembangan keilmuan di dunia Islam.</w:t>
      </w:r>
      <w:r w:rsidR="00EF3186">
        <w:rPr>
          <w:rStyle w:val="FootnoteReference"/>
          <w:rFonts w:ascii="Times New Roman" w:hAnsi="Times New Roman"/>
          <w:sz w:val="20"/>
          <w:szCs w:val="20"/>
        </w:rPr>
        <w:footnoteReference w:id="4"/>
      </w:r>
      <w:r w:rsidR="00871D7E" w:rsidRPr="00871D7E">
        <w:rPr>
          <w:rFonts w:ascii="Times New Roman" w:hAnsi="Times New Roman"/>
          <w:sz w:val="20"/>
          <w:szCs w:val="20"/>
        </w:rPr>
        <w:t xml:space="preserve"> </w:t>
      </w:r>
      <w:proofErr w:type="gramStart"/>
      <w:r w:rsidR="00871D7E" w:rsidRPr="00871D7E">
        <w:rPr>
          <w:rFonts w:ascii="Times New Roman" w:hAnsi="Times New Roman"/>
          <w:sz w:val="20"/>
          <w:szCs w:val="20"/>
        </w:rPr>
        <w:t xml:space="preserve">Warisan kolonialisme dan sekularisme telah meminggirkan pendekatan </w:t>
      </w:r>
      <w:r w:rsidR="00871D7E" w:rsidRPr="00871D7E">
        <w:rPr>
          <w:rFonts w:ascii="Times New Roman" w:hAnsi="Times New Roman"/>
          <w:sz w:val="20"/>
          <w:szCs w:val="20"/>
        </w:rPr>
        <w:lastRenderedPageBreak/>
        <w:t>integratif dalam pembangunan keilmuan umat Islam, termasuk dalam praktik konseling.</w:t>
      </w:r>
      <w:proofErr w:type="gramEnd"/>
      <w:r w:rsidR="00871D7E" w:rsidRPr="00871D7E">
        <w:rPr>
          <w:rFonts w:ascii="Times New Roman" w:hAnsi="Times New Roman"/>
          <w:sz w:val="20"/>
          <w:szCs w:val="20"/>
        </w:rPr>
        <w:t xml:space="preserve"> Akibatnya, banyak pendekatan BKI yang cenderung mengalami split identity antara metode konseling Barat yang positivistik dengan nilai-nilai Islam yang bersifat normatif.</w:t>
      </w:r>
      <w:r w:rsidR="00EF3186">
        <w:rPr>
          <w:rStyle w:val="FootnoteReference"/>
          <w:rFonts w:ascii="Times New Roman" w:hAnsi="Times New Roman"/>
          <w:sz w:val="20"/>
          <w:szCs w:val="20"/>
        </w:rPr>
        <w:footnoteReference w:id="5"/>
      </w:r>
      <w:r>
        <w:rPr>
          <w:rFonts w:ascii="Times New Roman" w:hAnsi="Times New Roman"/>
          <w:sz w:val="20"/>
          <w:szCs w:val="20"/>
        </w:rPr>
        <w:t xml:space="preserve"> </w:t>
      </w:r>
      <w:proofErr w:type="gramStart"/>
      <w:r w:rsidR="00871D7E" w:rsidRPr="00871D7E">
        <w:rPr>
          <w:rFonts w:ascii="Times New Roman" w:hAnsi="Times New Roman"/>
          <w:sz w:val="20"/>
          <w:szCs w:val="20"/>
        </w:rPr>
        <w:t>Kedua, secara metodologis, konseling Islam membutuhkan pendeka</w:t>
      </w:r>
      <w:r>
        <w:rPr>
          <w:rFonts w:ascii="Times New Roman" w:hAnsi="Times New Roman"/>
          <w:sz w:val="20"/>
          <w:szCs w:val="20"/>
        </w:rPr>
        <w:t>tan yang tidak sekadar menggabun</w:t>
      </w:r>
      <w:r w:rsidR="00871D7E" w:rsidRPr="00871D7E">
        <w:rPr>
          <w:rFonts w:ascii="Times New Roman" w:hAnsi="Times New Roman"/>
          <w:sz w:val="20"/>
          <w:szCs w:val="20"/>
        </w:rPr>
        <w:t>gkan unsur agama ke dalam metode psikologis, tetapi lebih jauh dari itu, memerlukan rekonstruksi epistemologi yang</w:t>
      </w:r>
      <w:r w:rsidR="00EF3186">
        <w:rPr>
          <w:rFonts w:ascii="Times New Roman" w:hAnsi="Times New Roman"/>
          <w:sz w:val="20"/>
          <w:szCs w:val="20"/>
        </w:rPr>
        <w:t xml:space="preserve"> memudahkan</w:t>
      </w:r>
      <w:r w:rsidR="00871D7E" w:rsidRPr="00871D7E">
        <w:rPr>
          <w:rFonts w:ascii="Times New Roman" w:hAnsi="Times New Roman"/>
          <w:sz w:val="20"/>
          <w:szCs w:val="20"/>
        </w:rPr>
        <w:t xml:space="preserve"> integrasi-interkoneksi antardisiplin secara fungsional.</w:t>
      </w:r>
      <w:proofErr w:type="gramEnd"/>
      <w:r w:rsidR="00871D7E" w:rsidRPr="00871D7E">
        <w:rPr>
          <w:rFonts w:ascii="Times New Roman" w:hAnsi="Times New Roman"/>
          <w:sz w:val="20"/>
          <w:szCs w:val="20"/>
        </w:rPr>
        <w:t xml:space="preserve"> </w:t>
      </w:r>
      <w:proofErr w:type="gramStart"/>
      <w:r w:rsidR="00871D7E" w:rsidRPr="00871D7E">
        <w:rPr>
          <w:rFonts w:ascii="Times New Roman" w:hAnsi="Times New Roman"/>
          <w:sz w:val="20"/>
          <w:szCs w:val="20"/>
        </w:rPr>
        <w:t>Di sinilah filsafat logika keilmuan berperan untuk menata ulang relasi antara ilmu psikologi modern dan ajaran Islam sebagai basis nilai dan tujuan hidup manusia.</w:t>
      </w:r>
      <w:proofErr w:type="gramEnd"/>
      <w:r w:rsidR="00EF3186">
        <w:rPr>
          <w:rStyle w:val="FootnoteReference"/>
          <w:rFonts w:ascii="Times New Roman" w:hAnsi="Times New Roman"/>
          <w:sz w:val="20"/>
          <w:szCs w:val="20"/>
        </w:rPr>
        <w:footnoteReference w:id="6"/>
      </w:r>
      <w:r w:rsidR="00871D7E">
        <w:rPr>
          <w:rFonts w:ascii="Times New Roman" w:hAnsi="Times New Roman"/>
          <w:sz w:val="20"/>
          <w:szCs w:val="20"/>
        </w:rPr>
        <w:t xml:space="preserve"> </w:t>
      </w:r>
      <w:r w:rsidR="00871D7E" w:rsidRPr="00871D7E">
        <w:rPr>
          <w:rFonts w:ascii="Times New Roman" w:hAnsi="Times New Roman"/>
          <w:sz w:val="20"/>
          <w:szCs w:val="20"/>
        </w:rPr>
        <w:t xml:space="preserve">Ketiga, </w:t>
      </w:r>
      <w:r>
        <w:rPr>
          <w:rFonts w:ascii="Times New Roman" w:hAnsi="Times New Roman"/>
          <w:sz w:val="20"/>
          <w:szCs w:val="20"/>
        </w:rPr>
        <w:t xml:space="preserve">terdapat </w:t>
      </w:r>
      <w:r w:rsidR="00871D7E" w:rsidRPr="00871D7E">
        <w:rPr>
          <w:rFonts w:ascii="Times New Roman" w:hAnsi="Times New Roman"/>
          <w:sz w:val="20"/>
          <w:szCs w:val="20"/>
        </w:rPr>
        <w:t xml:space="preserve">praktisi BKI yang mengalami kebingungan dalam menentukan posisi keilmuannya: apakah </w:t>
      </w:r>
      <w:proofErr w:type="gramStart"/>
      <w:r w:rsidR="00871D7E" w:rsidRPr="00871D7E">
        <w:rPr>
          <w:rFonts w:ascii="Times New Roman" w:hAnsi="Times New Roman"/>
          <w:sz w:val="20"/>
          <w:szCs w:val="20"/>
        </w:rPr>
        <w:t>ia</w:t>
      </w:r>
      <w:proofErr w:type="gramEnd"/>
      <w:r w:rsidR="00871D7E" w:rsidRPr="00871D7E">
        <w:rPr>
          <w:rFonts w:ascii="Times New Roman" w:hAnsi="Times New Roman"/>
          <w:sz w:val="20"/>
          <w:szCs w:val="20"/>
        </w:rPr>
        <w:t xml:space="preserve"> beroperasi dalam bingkai psikologi Barat yang sekuler, atau dalam kerangka dakwah yang normatif.</w:t>
      </w:r>
      <w:r w:rsidR="00EF3186">
        <w:rPr>
          <w:rStyle w:val="FootnoteReference"/>
          <w:rFonts w:ascii="Times New Roman" w:hAnsi="Times New Roman"/>
          <w:sz w:val="20"/>
          <w:szCs w:val="20"/>
        </w:rPr>
        <w:footnoteReference w:id="7"/>
      </w:r>
      <w:r w:rsidR="00871D7E" w:rsidRPr="00871D7E">
        <w:rPr>
          <w:rFonts w:ascii="Times New Roman" w:hAnsi="Times New Roman"/>
          <w:sz w:val="20"/>
          <w:szCs w:val="20"/>
        </w:rPr>
        <w:t xml:space="preserve"> </w:t>
      </w:r>
      <w:proofErr w:type="gramStart"/>
      <w:r w:rsidR="00871D7E" w:rsidRPr="00871D7E">
        <w:rPr>
          <w:rFonts w:ascii="Times New Roman" w:hAnsi="Times New Roman"/>
          <w:sz w:val="20"/>
          <w:szCs w:val="20"/>
        </w:rPr>
        <w:t>Ketidakjelasan epistemologis ini berdampak pada pendekatan dan teknik konseling yang sering kali tidak efektif karena gagal menyentuh akar persoalan klien dalam dimensi spiritual dan kulturalnya.</w:t>
      </w:r>
      <w:proofErr w:type="gramEnd"/>
      <w:r w:rsidR="00871D7E" w:rsidRPr="00871D7E">
        <w:rPr>
          <w:rFonts w:ascii="Times New Roman" w:hAnsi="Times New Roman"/>
          <w:sz w:val="20"/>
          <w:szCs w:val="20"/>
        </w:rPr>
        <w:t xml:space="preserve"> </w:t>
      </w:r>
      <w:proofErr w:type="gramStart"/>
      <w:r w:rsidR="00871D7E" w:rsidRPr="00871D7E">
        <w:rPr>
          <w:rFonts w:ascii="Times New Roman" w:hAnsi="Times New Roman"/>
          <w:sz w:val="20"/>
          <w:szCs w:val="20"/>
        </w:rPr>
        <w:t>Maka, perlu ada landasan berpikir yang mampu menjelaskan bagaimana BKI sebagai ilmu dan praktik bisa beroperasi dalam kerangka integratif.</w:t>
      </w:r>
      <w:proofErr w:type="gramEnd"/>
      <w:r w:rsidR="00871D7E">
        <w:rPr>
          <w:rFonts w:ascii="Times New Roman" w:hAnsi="Times New Roman"/>
          <w:sz w:val="20"/>
          <w:szCs w:val="20"/>
        </w:rPr>
        <w:t xml:space="preserve"> </w:t>
      </w:r>
      <w:proofErr w:type="gramStart"/>
      <w:r w:rsidR="00871D7E" w:rsidRPr="00871D7E">
        <w:rPr>
          <w:rFonts w:ascii="Times New Roman" w:hAnsi="Times New Roman"/>
          <w:sz w:val="20"/>
          <w:szCs w:val="20"/>
        </w:rPr>
        <w:t>Keempat, logika keilmuan memiliki potensi sebagai jembatan epistemik yang mampu mempertautkan berbagai disiplin keilmuan tanpa menegasikan identitas masing-masing.</w:t>
      </w:r>
      <w:proofErr w:type="gramEnd"/>
      <w:r w:rsidR="00871D7E" w:rsidRPr="00871D7E">
        <w:rPr>
          <w:rFonts w:ascii="Times New Roman" w:hAnsi="Times New Roman"/>
          <w:sz w:val="20"/>
          <w:szCs w:val="20"/>
        </w:rPr>
        <w:t xml:space="preserve"> </w:t>
      </w:r>
      <w:proofErr w:type="gramStart"/>
      <w:r w:rsidR="00871D7E" w:rsidRPr="00871D7E">
        <w:rPr>
          <w:rFonts w:ascii="Times New Roman" w:hAnsi="Times New Roman"/>
          <w:sz w:val="20"/>
          <w:szCs w:val="20"/>
        </w:rPr>
        <w:t>Dalam filsafat ilmu, logika menjadi instrumen untuk memastikan konsistensi, validitas, dan koherensi suatu argumen atau teori.</w:t>
      </w:r>
      <w:proofErr w:type="gramEnd"/>
      <w:r w:rsidR="00871D7E" w:rsidRPr="00871D7E">
        <w:rPr>
          <w:rFonts w:ascii="Times New Roman" w:hAnsi="Times New Roman"/>
          <w:sz w:val="20"/>
          <w:szCs w:val="20"/>
        </w:rPr>
        <w:t xml:space="preserve"> </w:t>
      </w:r>
      <w:proofErr w:type="gramStart"/>
      <w:r w:rsidR="00871D7E" w:rsidRPr="00871D7E">
        <w:rPr>
          <w:rFonts w:ascii="Times New Roman" w:hAnsi="Times New Roman"/>
          <w:sz w:val="20"/>
          <w:szCs w:val="20"/>
        </w:rPr>
        <w:t>Dengan pendekatan logika inilah, integrasi antara konseling dan nilai-nilai Islam tidak menjadi sinkretis atau eklektis, melainkan membentuk suatu sintesis keilmuan yang utuh dan fungsional.</w:t>
      </w:r>
      <w:proofErr w:type="gramEnd"/>
    </w:p>
    <w:p w14:paraId="50154B98" w14:textId="33DBF9FB" w:rsidR="00871D7E" w:rsidRPr="00200B37" w:rsidRDefault="00871D7E" w:rsidP="00200B37">
      <w:pPr>
        <w:spacing w:line="280" w:lineRule="auto"/>
        <w:ind w:firstLine="709"/>
        <w:jc w:val="both"/>
        <w:rPr>
          <w:sz w:val="20"/>
          <w:szCs w:val="20"/>
          <w:lang w:val="en-ID"/>
        </w:rPr>
      </w:pPr>
      <w:proofErr w:type="gramStart"/>
      <w:r w:rsidRPr="00871D7E">
        <w:rPr>
          <w:rFonts w:ascii="Times New Roman" w:hAnsi="Times New Roman"/>
          <w:sz w:val="20"/>
          <w:szCs w:val="20"/>
        </w:rPr>
        <w:t>Pemikiran tokoh-tokoh seperti al-Farabi, Ibn Sina, dan al-Ghazali menunjukkan bahwa integrasi antara rasio dan wahyu bukanlah hal baru dalam tradisi keilmuan Islam.</w:t>
      </w:r>
      <w:proofErr w:type="gramEnd"/>
      <w:r w:rsidR="007C5CA5">
        <w:rPr>
          <w:rStyle w:val="FootnoteReference"/>
          <w:rFonts w:ascii="Times New Roman" w:hAnsi="Times New Roman"/>
          <w:sz w:val="20"/>
          <w:szCs w:val="20"/>
        </w:rPr>
        <w:footnoteReference w:id="8"/>
      </w:r>
      <w:r w:rsidRPr="00871D7E">
        <w:rPr>
          <w:rFonts w:ascii="Times New Roman" w:hAnsi="Times New Roman"/>
          <w:sz w:val="20"/>
          <w:szCs w:val="20"/>
        </w:rPr>
        <w:t xml:space="preserve"> </w:t>
      </w:r>
      <w:proofErr w:type="gramStart"/>
      <w:r w:rsidRPr="00871D7E">
        <w:rPr>
          <w:rFonts w:ascii="Times New Roman" w:hAnsi="Times New Roman"/>
          <w:sz w:val="20"/>
          <w:szCs w:val="20"/>
        </w:rPr>
        <w:t xml:space="preserve">Al-Farabi, misalnya, dalam karyanya </w:t>
      </w:r>
      <w:r w:rsidRPr="00871D7E">
        <w:rPr>
          <w:rFonts w:ascii="Times New Roman" w:hAnsi="Times New Roman"/>
          <w:i/>
          <w:iCs/>
          <w:sz w:val="20"/>
          <w:szCs w:val="20"/>
        </w:rPr>
        <w:t>al-Madina al-Fadhilah</w:t>
      </w:r>
      <w:r w:rsidRPr="00871D7E">
        <w:rPr>
          <w:rFonts w:ascii="Times New Roman" w:hAnsi="Times New Roman"/>
          <w:sz w:val="20"/>
          <w:szCs w:val="20"/>
        </w:rPr>
        <w:t>, menggabungkan antara filsafat Yunani dengan ajaran Islam untuk merumuskan masyarakat ideal.</w:t>
      </w:r>
      <w:proofErr w:type="gramEnd"/>
      <w:r w:rsidR="007C5CA5">
        <w:rPr>
          <w:rStyle w:val="FootnoteReference"/>
          <w:rFonts w:ascii="Times New Roman" w:hAnsi="Times New Roman"/>
          <w:sz w:val="20"/>
          <w:szCs w:val="20"/>
        </w:rPr>
        <w:footnoteReference w:id="9"/>
      </w:r>
      <w:r w:rsidRPr="00871D7E">
        <w:rPr>
          <w:rFonts w:ascii="Times New Roman" w:hAnsi="Times New Roman"/>
          <w:sz w:val="20"/>
          <w:szCs w:val="20"/>
        </w:rPr>
        <w:t xml:space="preserve"> </w:t>
      </w:r>
      <w:proofErr w:type="gramStart"/>
      <w:r w:rsidRPr="00871D7E">
        <w:rPr>
          <w:rFonts w:ascii="Times New Roman" w:hAnsi="Times New Roman"/>
          <w:sz w:val="20"/>
          <w:szCs w:val="20"/>
        </w:rPr>
        <w:t xml:space="preserve">Ibn Sina dalam </w:t>
      </w:r>
      <w:r w:rsidRPr="00871D7E">
        <w:rPr>
          <w:rFonts w:ascii="Times New Roman" w:hAnsi="Times New Roman"/>
          <w:i/>
          <w:iCs/>
          <w:sz w:val="20"/>
          <w:szCs w:val="20"/>
        </w:rPr>
        <w:t>ash-Shifa</w:t>
      </w:r>
      <w:r w:rsidRPr="00871D7E">
        <w:rPr>
          <w:rFonts w:ascii="Times New Roman" w:hAnsi="Times New Roman"/>
          <w:sz w:val="20"/>
          <w:szCs w:val="20"/>
        </w:rPr>
        <w:t xml:space="preserve"> dan </w:t>
      </w:r>
      <w:r w:rsidRPr="00871D7E">
        <w:rPr>
          <w:rFonts w:ascii="Times New Roman" w:hAnsi="Times New Roman"/>
          <w:i/>
          <w:iCs/>
          <w:sz w:val="20"/>
          <w:szCs w:val="20"/>
        </w:rPr>
        <w:t>al-Najat</w:t>
      </w:r>
      <w:r w:rsidRPr="00871D7E">
        <w:rPr>
          <w:rFonts w:ascii="Times New Roman" w:hAnsi="Times New Roman"/>
          <w:sz w:val="20"/>
          <w:szCs w:val="20"/>
        </w:rPr>
        <w:t xml:space="preserve"> mengembangkan sistem logika dan psikologi yang menjadi rujukan bagi banyak pemikir Barat.</w:t>
      </w:r>
      <w:proofErr w:type="gramEnd"/>
      <w:r w:rsidRPr="00871D7E">
        <w:rPr>
          <w:rFonts w:ascii="Times New Roman" w:hAnsi="Times New Roman"/>
          <w:sz w:val="20"/>
          <w:szCs w:val="20"/>
        </w:rPr>
        <w:t xml:space="preserve"> </w:t>
      </w:r>
      <w:proofErr w:type="gramStart"/>
      <w:r w:rsidRPr="00871D7E">
        <w:rPr>
          <w:rFonts w:ascii="Times New Roman" w:hAnsi="Times New Roman"/>
          <w:sz w:val="20"/>
          <w:szCs w:val="20"/>
        </w:rPr>
        <w:t xml:space="preserve">Al-Ghazali melalui </w:t>
      </w:r>
      <w:r w:rsidRPr="00871D7E">
        <w:rPr>
          <w:rFonts w:ascii="Times New Roman" w:hAnsi="Times New Roman"/>
          <w:i/>
          <w:iCs/>
          <w:sz w:val="20"/>
          <w:szCs w:val="20"/>
        </w:rPr>
        <w:t>al-Munqidz min ad-Dhalal</w:t>
      </w:r>
      <w:r w:rsidRPr="00871D7E">
        <w:rPr>
          <w:rFonts w:ascii="Times New Roman" w:hAnsi="Times New Roman"/>
          <w:sz w:val="20"/>
          <w:szCs w:val="20"/>
        </w:rPr>
        <w:t xml:space="preserve"> dan </w:t>
      </w:r>
      <w:r w:rsidRPr="00871D7E">
        <w:rPr>
          <w:rFonts w:ascii="Times New Roman" w:hAnsi="Times New Roman"/>
          <w:i/>
          <w:iCs/>
          <w:sz w:val="20"/>
          <w:szCs w:val="20"/>
        </w:rPr>
        <w:t xml:space="preserve">Ihya’ </w:t>
      </w:r>
      <w:r w:rsidRPr="00871D7E">
        <w:rPr>
          <w:rFonts w:ascii="Times New Roman" w:hAnsi="Times New Roman"/>
          <w:i/>
          <w:iCs/>
          <w:sz w:val="20"/>
          <w:szCs w:val="20"/>
        </w:rPr>
        <w:lastRenderedPageBreak/>
        <w:t>Ulumuddin</w:t>
      </w:r>
      <w:r w:rsidRPr="00871D7E">
        <w:rPr>
          <w:rFonts w:ascii="Times New Roman" w:hAnsi="Times New Roman"/>
          <w:sz w:val="20"/>
          <w:szCs w:val="20"/>
        </w:rPr>
        <w:t xml:space="preserve"> menunjukkan bahwa pendekatan spiritual yang mendalam tidak mengabaikan nalar, tetapi justru menyempurnakannya.</w:t>
      </w:r>
      <w:proofErr w:type="gramEnd"/>
      <w:r w:rsidR="007C5CA5">
        <w:rPr>
          <w:rFonts w:ascii="Times New Roman" w:hAnsi="Times New Roman"/>
          <w:sz w:val="20"/>
          <w:szCs w:val="20"/>
        </w:rPr>
        <w:t xml:space="preserve"> </w:t>
      </w:r>
      <w:proofErr w:type="gramStart"/>
      <w:r w:rsidRPr="00871D7E">
        <w:rPr>
          <w:rFonts w:ascii="Times New Roman" w:hAnsi="Times New Roman"/>
          <w:sz w:val="20"/>
          <w:szCs w:val="20"/>
        </w:rPr>
        <w:t xml:space="preserve">Lebih lanjut, pendekatan integratif ini mendapatkan momentum dalam era kontemporer melalui konsep integrasi-interkoneksi ilmu yang dikembangkan oleh para pemikir Muslim modern seperti </w:t>
      </w:r>
      <w:r w:rsidR="007C5CA5">
        <w:rPr>
          <w:rFonts w:ascii="Times New Roman" w:hAnsi="Times New Roman"/>
          <w:sz w:val="20"/>
          <w:szCs w:val="20"/>
        </w:rPr>
        <w:t>A</w:t>
      </w:r>
      <w:r w:rsidRPr="00871D7E">
        <w:rPr>
          <w:rFonts w:ascii="Times New Roman" w:hAnsi="Times New Roman"/>
          <w:sz w:val="20"/>
          <w:szCs w:val="20"/>
        </w:rPr>
        <w:t>min Abdullah.</w:t>
      </w:r>
      <w:proofErr w:type="gramEnd"/>
      <w:r w:rsidR="007C5CA5">
        <w:rPr>
          <w:rStyle w:val="FootnoteReference"/>
          <w:rFonts w:ascii="Times New Roman" w:hAnsi="Times New Roman"/>
          <w:sz w:val="20"/>
          <w:szCs w:val="20"/>
        </w:rPr>
        <w:footnoteReference w:id="10"/>
      </w:r>
      <w:r w:rsidR="007C5CA5" w:rsidRPr="00871D7E">
        <w:rPr>
          <w:rFonts w:ascii="Times New Roman" w:hAnsi="Times New Roman"/>
          <w:sz w:val="20"/>
          <w:szCs w:val="20"/>
        </w:rPr>
        <w:t xml:space="preserve"> </w:t>
      </w:r>
      <w:r w:rsidRPr="00871D7E">
        <w:rPr>
          <w:rFonts w:ascii="Times New Roman" w:hAnsi="Times New Roman"/>
          <w:sz w:val="20"/>
          <w:szCs w:val="20"/>
        </w:rPr>
        <w:t xml:space="preserve">Dalam kerangka integratif ini, ilmu tidak dibagi secara biner antara ‘ilmu dunia’ dan ‘ilmu akhirat’, tetapi dibaca secara sinergis. </w:t>
      </w:r>
      <w:proofErr w:type="gramStart"/>
      <w:r w:rsidRPr="00871D7E">
        <w:rPr>
          <w:rFonts w:ascii="Times New Roman" w:hAnsi="Times New Roman"/>
          <w:sz w:val="20"/>
          <w:szCs w:val="20"/>
        </w:rPr>
        <w:t>Konsep integrasi-interkoneksi membuka ruang bagi pertemuan antara ilmu sosial-humaniora dan nilai-nilai agama yang kontekstual.</w:t>
      </w:r>
      <w:proofErr w:type="gramEnd"/>
      <w:r w:rsidRPr="00871D7E">
        <w:rPr>
          <w:rFonts w:ascii="Times New Roman" w:hAnsi="Times New Roman"/>
          <w:sz w:val="20"/>
          <w:szCs w:val="20"/>
        </w:rPr>
        <w:t xml:space="preserve"> </w:t>
      </w:r>
      <w:proofErr w:type="gramStart"/>
      <w:r w:rsidRPr="00871D7E">
        <w:rPr>
          <w:rFonts w:ascii="Times New Roman" w:hAnsi="Times New Roman"/>
          <w:sz w:val="20"/>
          <w:szCs w:val="20"/>
        </w:rPr>
        <w:t>Pendekatan ini sangat relevan bagi pengembangan BKI yang harus merespons dinamika sosial dan spiritual klien secara menyeluruh.</w:t>
      </w:r>
      <w:proofErr w:type="gramEnd"/>
      <w:r>
        <w:rPr>
          <w:rFonts w:ascii="Times New Roman" w:hAnsi="Times New Roman"/>
          <w:sz w:val="20"/>
          <w:szCs w:val="20"/>
        </w:rPr>
        <w:t xml:space="preserve"> </w:t>
      </w:r>
      <w:proofErr w:type="gramStart"/>
      <w:r w:rsidRPr="00871D7E">
        <w:rPr>
          <w:rFonts w:ascii="Times New Roman" w:hAnsi="Times New Roman"/>
          <w:sz w:val="20"/>
          <w:szCs w:val="20"/>
        </w:rPr>
        <w:t>Beberapa penelitian juga menunjukkan bahwa konseling berbasis nilai-nilai spiritual memiliki dampak positif dalam menangani persoalan psikologis seperti depresi, kecemasan, dan krisis identitas.</w:t>
      </w:r>
      <w:proofErr w:type="gramEnd"/>
      <w:r w:rsidRPr="00871D7E">
        <w:rPr>
          <w:rFonts w:ascii="Times New Roman" w:hAnsi="Times New Roman"/>
          <w:sz w:val="20"/>
          <w:szCs w:val="20"/>
        </w:rPr>
        <w:t xml:space="preserve"> Sebuah studi oleh</w:t>
      </w:r>
      <w:r w:rsidR="00200B37">
        <w:rPr>
          <w:rFonts w:ascii="Times New Roman" w:hAnsi="Times New Roman"/>
          <w:sz w:val="20"/>
          <w:szCs w:val="20"/>
        </w:rPr>
        <w:t xml:space="preserve"> </w:t>
      </w:r>
      <w:r w:rsidR="00200B37" w:rsidRPr="00200B37">
        <w:rPr>
          <w:rFonts w:ascii="Times New Roman" w:hAnsi="Times New Roman"/>
          <w:sz w:val="20"/>
          <w:szCs w:val="20"/>
          <w:lang w:val="en-ID"/>
        </w:rPr>
        <w:t xml:space="preserve">Dewi, Yeni Satroma </w:t>
      </w:r>
      <w:r w:rsidR="00200B37" w:rsidRPr="00200B37">
        <w:rPr>
          <w:rFonts w:ascii="Times New Roman" w:hAnsi="Times New Roman"/>
          <w:sz w:val="20"/>
          <w:szCs w:val="20"/>
        </w:rPr>
        <w:t xml:space="preserve">Yelliza, </w:t>
      </w:r>
      <w:r w:rsidR="001B75A9">
        <w:rPr>
          <w:rFonts w:ascii="Times New Roman" w:hAnsi="Times New Roman"/>
          <w:sz w:val="20"/>
          <w:szCs w:val="20"/>
        </w:rPr>
        <w:t xml:space="preserve">dan </w:t>
      </w:r>
      <w:r w:rsidR="00200B37" w:rsidRPr="00200B37">
        <w:rPr>
          <w:rFonts w:ascii="Times New Roman" w:hAnsi="Times New Roman"/>
          <w:sz w:val="20"/>
          <w:szCs w:val="20"/>
        </w:rPr>
        <w:t>Merri</w:t>
      </w:r>
      <w:r w:rsidRPr="00871D7E">
        <w:rPr>
          <w:rFonts w:ascii="Times New Roman" w:hAnsi="Times New Roman"/>
          <w:sz w:val="20"/>
          <w:szCs w:val="20"/>
        </w:rPr>
        <w:t xml:space="preserve"> menyatakan bahwa pendekatan konseling yang mengintegrasikan nilai keislaman dan teknik terapi modern mampu meningkatkan kepercayaan diri dan ketenangan batin klien secara signifikan. </w:t>
      </w:r>
      <w:proofErr w:type="gramStart"/>
      <w:r w:rsidRPr="00871D7E">
        <w:rPr>
          <w:rFonts w:ascii="Times New Roman" w:hAnsi="Times New Roman"/>
          <w:sz w:val="20"/>
          <w:szCs w:val="20"/>
        </w:rPr>
        <w:t>Hal ini menunjukkan bahwa sintesis antara dimensi religius dan pendekatan psikologis bukan hanya memungkinkan secara teoretis, tetapi juga efektif secara praktis.</w:t>
      </w:r>
      <w:proofErr w:type="gramEnd"/>
      <w:r w:rsidR="001B75A9">
        <w:rPr>
          <w:rStyle w:val="FootnoteReference"/>
          <w:rFonts w:ascii="Times New Roman" w:hAnsi="Times New Roman"/>
          <w:sz w:val="20"/>
          <w:szCs w:val="20"/>
        </w:rPr>
        <w:footnoteReference w:id="11"/>
      </w:r>
      <w:r>
        <w:rPr>
          <w:rFonts w:ascii="Times New Roman" w:hAnsi="Times New Roman"/>
          <w:sz w:val="20"/>
          <w:szCs w:val="20"/>
        </w:rPr>
        <w:t xml:space="preserve"> </w:t>
      </w:r>
      <w:proofErr w:type="gramStart"/>
      <w:r w:rsidRPr="00871D7E">
        <w:rPr>
          <w:rFonts w:ascii="Times New Roman" w:hAnsi="Times New Roman"/>
          <w:sz w:val="20"/>
          <w:szCs w:val="20"/>
        </w:rPr>
        <w:t>Lebih jauh, pendekatan filsafat logika keilmuan dapat digunakan sebagai kerangka reflektif untuk mengevaluasi asumsi-asumsi dasar dalam pendekatan konseling yang ada saat ini.</w:t>
      </w:r>
      <w:proofErr w:type="gramEnd"/>
      <w:r w:rsidR="001B75A9">
        <w:rPr>
          <w:rStyle w:val="FootnoteReference"/>
          <w:rFonts w:ascii="Times New Roman" w:hAnsi="Times New Roman"/>
          <w:sz w:val="20"/>
          <w:szCs w:val="20"/>
        </w:rPr>
        <w:footnoteReference w:id="12"/>
      </w:r>
      <w:r w:rsidRPr="00871D7E">
        <w:rPr>
          <w:rFonts w:ascii="Times New Roman" w:hAnsi="Times New Roman"/>
          <w:sz w:val="20"/>
          <w:szCs w:val="20"/>
        </w:rPr>
        <w:t xml:space="preserve"> </w:t>
      </w:r>
      <w:proofErr w:type="gramStart"/>
      <w:r w:rsidRPr="00871D7E">
        <w:rPr>
          <w:rFonts w:ascii="Times New Roman" w:hAnsi="Times New Roman"/>
          <w:sz w:val="20"/>
          <w:szCs w:val="20"/>
        </w:rPr>
        <w:t>Misalnya, pendekatan behavioral atau kognitif yang dominan dalam konseling modern dapat dipertanyakan ulang efektivitasnya dalam konteks masyarakat Muslim yang memiliki pandangan hidup transendental.</w:t>
      </w:r>
      <w:proofErr w:type="gramEnd"/>
      <w:r w:rsidRPr="00871D7E">
        <w:rPr>
          <w:rFonts w:ascii="Times New Roman" w:hAnsi="Times New Roman"/>
          <w:sz w:val="20"/>
          <w:szCs w:val="20"/>
        </w:rPr>
        <w:t xml:space="preserve"> </w:t>
      </w:r>
      <w:proofErr w:type="gramStart"/>
      <w:r w:rsidRPr="00871D7E">
        <w:rPr>
          <w:rFonts w:ascii="Times New Roman" w:hAnsi="Times New Roman"/>
          <w:sz w:val="20"/>
          <w:szCs w:val="20"/>
        </w:rPr>
        <w:t>Filsafat logika membantu kita melihat bahwa pendekatan yang terlalu teknis dan reduksionistik dalam konseling dapat mengabaikan dimensi spiritual, etis, dan kultural yang menjadi bagian integral dari kepribadian klien Muslim.</w:t>
      </w:r>
      <w:proofErr w:type="gramEnd"/>
    </w:p>
    <w:p w14:paraId="325B4789" w14:textId="696BA15D" w:rsidR="00657636" w:rsidRPr="003A1A75" w:rsidRDefault="001B75A9" w:rsidP="003A1A75">
      <w:pPr>
        <w:spacing w:line="280" w:lineRule="auto"/>
        <w:ind w:firstLine="709"/>
        <w:jc w:val="both"/>
        <w:rPr>
          <w:rFonts w:ascii="Times New Roman" w:hAnsi="Times New Roman"/>
          <w:sz w:val="20"/>
          <w:szCs w:val="20"/>
        </w:rPr>
      </w:pPr>
      <w:proofErr w:type="gramStart"/>
      <w:r w:rsidRPr="001B75A9">
        <w:rPr>
          <w:rFonts w:ascii="Times New Roman" w:hAnsi="Times New Roman"/>
          <w:sz w:val="20"/>
          <w:szCs w:val="20"/>
        </w:rPr>
        <w:t>Dari uraian sebelumnya dapat disimpulkan bahwa filsafat logika keilmuan memiliki urgensi strategis dalam membangun fondasi konseptual bagi pengembangan Bimbingan Konseling Islam (BKI) yang tidak bersifat dikotomis, melainkan integratif dan interkonektif.</w:t>
      </w:r>
      <w:proofErr w:type="gramEnd"/>
      <w:r w:rsidRPr="001B75A9">
        <w:rPr>
          <w:rFonts w:ascii="Times New Roman" w:hAnsi="Times New Roman"/>
          <w:sz w:val="20"/>
          <w:szCs w:val="20"/>
        </w:rPr>
        <w:t xml:space="preserve"> </w:t>
      </w:r>
      <w:proofErr w:type="gramStart"/>
      <w:r w:rsidRPr="001B75A9">
        <w:rPr>
          <w:rFonts w:ascii="Times New Roman" w:hAnsi="Times New Roman"/>
          <w:sz w:val="20"/>
          <w:szCs w:val="20"/>
        </w:rPr>
        <w:t>Keilmuan BKI yang ingin menyatukan nilai-nilai spiritual Islam dengan pendekatan ilmiah modern tidak cukup hanya dengan menggabungkan metode secara teknis, melainkan memerlukan penataan ulang dari dasar epistemologisnya.</w:t>
      </w:r>
      <w:proofErr w:type="gramEnd"/>
      <w:r w:rsidRPr="001B75A9">
        <w:rPr>
          <w:rFonts w:ascii="Times New Roman" w:hAnsi="Times New Roman"/>
          <w:sz w:val="20"/>
          <w:szCs w:val="20"/>
        </w:rPr>
        <w:t xml:space="preserve"> </w:t>
      </w:r>
      <w:proofErr w:type="gramStart"/>
      <w:r w:rsidRPr="001B75A9">
        <w:rPr>
          <w:rFonts w:ascii="Times New Roman" w:hAnsi="Times New Roman"/>
          <w:sz w:val="20"/>
          <w:szCs w:val="20"/>
        </w:rPr>
        <w:t xml:space="preserve">Di sinilah filsafat </w:t>
      </w:r>
      <w:r w:rsidRPr="001B75A9">
        <w:rPr>
          <w:rFonts w:ascii="Times New Roman" w:hAnsi="Times New Roman"/>
          <w:sz w:val="20"/>
          <w:szCs w:val="20"/>
        </w:rPr>
        <w:lastRenderedPageBreak/>
        <w:t>logika keilmuan berperan, sebagai perangkat untuk menimbang validitas, koherensi, dan kompatibilitas antara nilai-nilai Islam dan metodologi konseling kontemporer.</w:t>
      </w:r>
      <w:proofErr w:type="gramEnd"/>
      <w:r w:rsidR="007A4584">
        <w:rPr>
          <w:rStyle w:val="FootnoteReference"/>
          <w:rFonts w:ascii="Times New Roman" w:hAnsi="Times New Roman"/>
          <w:sz w:val="20"/>
          <w:szCs w:val="20"/>
        </w:rPr>
        <w:footnoteReference w:id="13"/>
      </w:r>
      <w:r w:rsidR="007A4584">
        <w:rPr>
          <w:rFonts w:ascii="Times New Roman" w:hAnsi="Times New Roman"/>
          <w:sz w:val="20"/>
          <w:szCs w:val="20"/>
        </w:rPr>
        <w:t xml:space="preserve"> </w:t>
      </w:r>
      <w:r>
        <w:rPr>
          <w:rFonts w:ascii="Times New Roman" w:hAnsi="Times New Roman"/>
          <w:sz w:val="20"/>
          <w:szCs w:val="20"/>
        </w:rPr>
        <w:t xml:space="preserve"> </w:t>
      </w:r>
      <w:proofErr w:type="gramStart"/>
      <w:r w:rsidRPr="001B75A9">
        <w:rPr>
          <w:rFonts w:ascii="Times New Roman" w:hAnsi="Times New Roman"/>
          <w:sz w:val="20"/>
          <w:szCs w:val="20"/>
        </w:rPr>
        <w:t>Logika keilmuan membantu kita tidak hanya berpikir sistematis, tetapi juga kritis dan reflektif atas bangunan ilmu yang kita gunakan dalam mendampingi manusia.</w:t>
      </w:r>
      <w:proofErr w:type="gramEnd"/>
      <w:r w:rsidRPr="001B75A9">
        <w:rPr>
          <w:rFonts w:ascii="Times New Roman" w:hAnsi="Times New Roman"/>
          <w:sz w:val="20"/>
          <w:szCs w:val="20"/>
        </w:rPr>
        <w:t xml:space="preserve"> Filsafat ilmu, dalam hal ini logika sebagai instrumen berpikir, menjadi alat untuk mengevaluasi struktur pemahaman kita atas manusia, masalah hidupnya, dan </w:t>
      </w:r>
      <w:proofErr w:type="gramStart"/>
      <w:r w:rsidRPr="001B75A9">
        <w:rPr>
          <w:rFonts w:ascii="Times New Roman" w:hAnsi="Times New Roman"/>
          <w:sz w:val="20"/>
          <w:szCs w:val="20"/>
        </w:rPr>
        <w:t>cara</w:t>
      </w:r>
      <w:proofErr w:type="gramEnd"/>
      <w:r w:rsidRPr="001B75A9">
        <w:rPr>
          <w:rFonts w:ascii="Times New Roman" w:hAnsi="Times New Roman"/>
          <w:sz w:val="20"/>
          <w:szCs w:val="20"/>
        </w:rPr>
        <w:t xml:space="preserve"> penanganannya—secara konseptual maupun praktis.</w:t>
      </w:r>
      <w:r>
        <w:rPr>
          <w:rFonts w:ascii="Times New Roman" w:hAnsi="Times New Roman"/>
          <w:sz w:val="20"/>
          <w:szCs w:val="20"/>
        </w:rPr>
        <w:t xml:space="preserve"> </w:t>
      </w:r>
      <w:proofErr w:type="gramStart"/>
      <w:r w:rsidRPr="001B75A9">
        <w:rPr>
          <w:rFonts w:ascii="Times New Roman" w:hAnsi="Times New Roman"/>
          <w:sz w:val="20"/>
          <w:szCs w:val="20"/>
        </w:rPr>
        <w:t>Berdasarkan pemikiran tersebut,</w:t>
      </w:r>
      <w:r w:rsidRPr="000710DF">
        <w:rPr>
          <w:rFonts w:ascii="Times New Roman" w:hAnsi="Times New Roman"/>
          <w:sz w:val="20"/>
          <w:szCs w:val="20"/>
        </w:rPr>
        <w:t xml:space="preserve"> </w:t>
      </w:r>
      <w:r w:rsidRPr="000710DF">
        <w:rPr>
          <w:rFonts w:ascii="Times New Roman" w:hAnsi="Times New Roman"/>
          <w:bCs/>
          <w:sz w:val="20"/>
          <w:szCs w:val="20"/>
        </w:rPr>
        <w:t>tujuan dari penelitian ini adalah untuk mengeksplorasi dan mengkaji potensi kontribusi filsafat logika keilmuan dalam membangun paradigma integrasi-interkoneksi dalam Bimbingan Konseling Islam</w:t>
      </w:r>
      <w:r w:rsidRPr="000710DF">
        <w:rPr>
          <w:rFonts w:ascii="Times New Roman" w:hAnsi="Times New Roman"/>
          <w:sz w:val="20"/>
          <w:szCs w:val="20"/>
        </w:rPr>
        <w:t>.</w:t>
      </w:r>
      <w:proofErr w:type="gramEnd"/>
      <w:r w:rsidRPr="000710DF">
        <w:rPr>
          <w:rFonts w:ascii="Times New Roman" w:hAnsi="Times New Roman"/>
          <w:sz w:val="20"/>
          <w:szCs w:val="20"/>
        </w:rPr>
        <w:t xml:space="preserve"> </w:t>
      </w:r>
      <w:r w:rsidR="000710DF" w:rsidRPr="000710DF">
        <w:rPr>
          <w:rFonts w:ascii="Times New Roman" w:hAnsi="Times New Roman"/>
          <w:sz w:val="20"/>
          <w:szCs w:val="20"/>
        </w:rPr>
        <w:t xml:space="preserve">Penelitian ini dilakukan dengan menggunakan pendekatan kualitatif melalui metode studi pustaka, yakni dengan menelaah secara mendalam berbagai literatur yang relevan dalam bidang filsafat ilmu, logika, psikologi, dan Bimbingan Konseling Islam (BKI) dari perspektif Islam dan modern. </w:t>
      </w:r>
      <w:proofErr w:type="gramStart"/>
      <w:r w:rsidR="000710DF" w:rsidRPr="000710DF">
        <w:rPr>
          <w:rFonts w:ascii="Times New Roman" w:hAnsi="Times New Roman"/>
          <w:sz w:val="20"/>
          <w:szCs w:val="20"/>
        </w:rPr>
        <w:t>Sumber data dalam penelitian ini meliputi buku-buku rujukan utama, jurnal ilmiah nasional dan internasional, serta literatur akademik lainnya yang memiliki keterkaitan dengan topik filsafat logika keilmuan dan integrasi-interkoneksi dalam keilmuan Islam.</w:t>
      </w:r>
      <w:proofErr w:type="gramEnd"/>
      <w:r w:rsidR="000710DF">
        <w:rPr>
          <w:rFonts w:ascii="Times New Roman" w:hAnsi="Times New Roman"/>
          <w:sz w:val="20"/>
          <w:szCs w:val="20"/>
        </w:rPr>
        <w:t xml:space="preserve"> </w:t>
      </w:r>
      <w:r w:rsidR="000710DF" w:rsidRPr="000710DF">
        <w:rPr>
          <w:rFonts w:ascii="Times New Roman" w:hAnsi="Times New Roman"/>
          <w:sz w:val="20"/>
          <w:szCs w:val="20"/>
        </w:rPr>
        <w:t xml:space="preserve">Literatur dipilih secara purposif berdasarkan relevansinya terhadap tema penelitian, khususnya yang memuat konsep-konsep epistemologi Islam, pendekatan integrasi keilmuan, serta perkembangan teori dan praktik BKI. </w:t>
      </w:r>
      <w:proofErr w:type="gramStart"/>
      <w:r w:rsidR="000710DF" w:rsidRPr="000710DF">
        <w:rPr>
          <w:rFonts w:ascii="Times New Roman" w:hAnsi="Times New Roman"/>
          <w:sz w:val="20"/>
          <w:szCs w:val="20"/>
        </w:rPr>
        <w:t>Data yang telah dikumpulkan kemudian dianalisis mengikuti tahapan analisis kualitatif menurut Creswell.</w:t>
      </w:r>
      <w:proofErr w:type="gramEnd"/>
      <w:r w:rsidR="00E23E45">
        <w:rPr>
          <w:rStyle w:val="FootnoteReference"/>
          <w:rFonts w:ascii="Times New Roman" w:hAnsi="Times New Roman"/>
          <w:sz w:val="20"/>
          <w:szCs w:val="20"/>
        </w:rPr>
        <w:footnoteReference w:id="14"/>
      </w:r>
      <w:r w:rsidR="000710DF" w:rsidRPr="000710DF">
        <w:rPr>
          <w:rFonts w:ascii="Times New Roman" w:hAnsi="Times New Roman"/>
          <w:sz w:val="20"/>
          <w:szCs w:val="20"/>
        </w:rPr>
        <w:t xml:space="preserve"> Proses ini dimulai dengan mengorganisasi dan membaca seluruh data secara menyeluruh untuk mendapatkan pemahaman awal, lalu dilanjutkan dengan pengodean terhadap unit-unit makna penting. </w:t>
      </w:r>
      <w:proofErr w:type="gramStart"/>
      <w:r w:rsidR="000710DF" w:rsidRPr="000710DF">
        <w:rPr>
          <w:rFonts w:ascii="Times New Roman" w:hAnsi="Times New Roman"/>
          <w:sz w:val="20"/>
          <w:szCs w:val="20"/>
        </w:rPr>
        <w:t>Dari hasil pengodean ini, dikembangkan tema-tema utama yang relevan dengan fokus kajian.</w:t>
      </w:r>
      <w:proofErr w:type="gramEnd"/>
      <w:r w:rsidR="000710DF" w:rsidRPr="000710DF">
        <w:rPr>
          <w:rFonts w:ascii="Times New Roman" w:hAnsi="Times New Roman"/>
          <w:sz w:val="20"/>
          <w:szCs w:val="20"/>
        </w:rPr>
        <w:t xml:space="preserve"> </w:t>
      </w:r>
      <w:proofErr w:type="gramStart"/>
      <w:r w:rsidR="000710DF" w:rsidRPr="000710DF">
        <w:rPr>
          <w:rFonts w:ascii="Times New Roman" w:hAnsi="Times New Roman"/>
          <w:sz w:val="20"/>
          <w:szCs w:val="20"/>
        </w:rPr>
        <w:t>Tema-tema tersebut kemudian diinterpretasikan secara mendalam untuk menemukan makna substantif dan kontribusinya terhadap pengembangan paradigma integratif-interkonektif dalam BKI.</w:t>
      </w:r>
      <w:proofErr w:type="gramEnd"/>
      <w:r w:rsidR="000710DF">
        <w:rPr>
          <w:rFonts w:ascii="Times New Roman" w:hAnsi="Times New Roman"/>
          <w:sz w:val="20"/>
          <w:szCs w:val="20"/>
        </w:rPr>
        <w:t xml:space="preserve"> </w:t>
      </w:r>
      <w:proofErr w:type="gramStart"/>
      <w:r w:rsidR="000710DF" w:rsidRPr="000710DF">
        <w:rPr>
          <w:rFonts w:ascii="Times New Roman" w:hAnsi="Times New Roman"/>
          <w:sz w:val="20"/>
          <w:szCs w:val="20"/>
        </w:rPr>
        <w:t>Dengan pendekatan ini, penelitian diharapkan mampu menghadirkan pemahaman yang reflektif dan komprehensif tentang bagaimana filsafat logika keilmuan dapat memberikan kontribusi nyata dalam mengembangkan BKI yang tidak hanya ilmiah, tetapi juga sesuai dengan nilai-nilai dasar Islam.</w:t>
      </w:r>
      <w:proofErr w:type="gramEnd"/>
    </w:p>
    <w:p w14:paraId="7814BC02" w14:textId="46D91D92" w:rsidR="00164899" w:rsidRDefault="00ED136B">
      <w:pPr>
        <w:numPr>
          <w:ilvl w:val="0"/>
          <w:numId w:val="1"/>
        </w:numPr>
        <w:pBdr>
          <w:top w:val="nil"/>
          <w:left w:val="nil"/>
          <w:bottom w:val="nil"/>
          <w:right w:val="nil"/>
          <w:between w:val="nil"/>
        </w:pBdr>
        <w:spacing w:after="60" w:line="280" w:lineRule="auto"/>
        <w:ind w:left="426" w:hanging="426"/>
        <w:jc w:val="both"/>
        <w:rPr>
          <w:rFonts w:ascii="Times New Roman" w:hAnsi="Times New Roman"/>
          <w:b/>
          <w:color w:val="000000"/>
          <w:sz w:val="20"/>
          <w:szCs w:val="20"/>
        </w:rPr>
      </w:pPr>
      <w:bookmarkStart w:id="1" w:name="_heading=h.gjdgxs" w:colFirst="0" w:colLast="0"/>
      <w:bookmarkEnd w:id="1"/>
      <w:r>
        <w:rPr>
          <w:rFonts w:ascii="Times New Roman" w:hAnsi="Times New Roman"/>
          <w:b/>
          <w:color w:val="000000"/>
          <w:sz w:val="20"/>
          <w:szCs w:val="20"/>
        </w:rPr>
        <w:t>Hasil dan Diskusi</w:t>
      </w:r>
    </w:p>
    <w:p w14:paraId="79CA6CD9" w14:textId="3DF24DCC" w:rsidR="003A1A75" w:rsidRPr="000724C0" w:rsidRDefault="00ED136B" w:rsidP="000724C0">
      <w:pPr>
        <w:spacing w:after="0" w:line="240" w:lineRule="auto"/>
        <w:jc w:val="both"/>
        <w:rPr>
          <w:rFonts w:ascii="Times New Roman" w:hAnsi="Times New Roman"/>
          <w:i/>
          <w:sz w:val="20"/>
          <w:szCs w:val="20"/>
        </w:rPr>
      </w:pPr>
      <w:r w:rsidRPr="000724C0">
        <w:rPr>
          <w:rFonts w:ascii="Times New Roman" w:hAnsi="Times New Roman"/>
          <w:i/>
          <w:sz w:val="20"/>
          <w:szCs w:val="20"/>
        </w:rPr>
        <w:t>Landasan Teori</w:t>
      </w:r>
      <w:r w:rsidR="000724C0" w:rsidRPr="000724C0">
        <w:rPr>
          <w:rFonts w:ascii="Times New Roman" w:hAnsi="Times New Roman"/>
          <w:i/>
          <w:sz w:val="20"/>
          <w:szCs w:val="20"/>
        </w:rPr>
        <w:t xml:space="preserve"> </w:t>
      </w:r>
      <w:r w:rsidR="003A1A75" w:rsidRPr="000724C0">
        <w:rPr>
          <w:rFonts w:ascii="Times New Roman" w:hAnsi="Times New Roman"/>
          <w:i/>
          <w:sz w:val="20"/>
          <w:szCs w:val="20"/>
        </w:rPr>
        <w:t>Filsafat dan logika keilmuan</w:t>
      </w:r>
    </w:p>
    <w:p w14:paraId="65BEBEEF" w14:textId="77777777" w:rsidR="003A1A75" w:rsidRPr="003A1A75" w:rsidRDefault="003A1A75" w:rsidP="00A97C73">
      <w:pPr>
        <w:pStyle w:val="ListParagraph"/>
        <w:numPr>
          <w:ilvl w:val="0"/>
          <w:numId w:val="6"/>
        </w:numPr>
        <w:spacing w:after="0" w:line="240" w:lineRule="auto"/>
        <w:ind w:left="284" w:hanging="284"/>
        <w:rPr>
          <w:rFonts w:ascii="Times New Roman" w:hAnsi="Times New Roman"/>
          <w:sz w:val="20"/>
          <w:szCs w:val="20"/>
        </w:rPr>
      </w:pPr>
      <w:r w:rsidRPr="003A1A75">
        <w:rPr>
          <w:rFonts w:ascii="Times New Roman" w:hAnsi="Times New Roman"/>
          <w:sz w:val="20"/>
          <w:szCs w:val="20"/>
        </w:rPr>
        <w:lastRenderedPageBreak/>
        <w:t>Definisi filsafat</w:t>
      </w:r>
    </w:p>
    <w:p w14:paraId="61AFCBA3" w14:textId="70D47769" w:rsidR="003A1A75" w:rsidRPr="003A1A75" w:rsidRDefault="003A1A75" w:rsidP="00A97C73">
      <w:pPr>
        <w:pStyle w:val="ListParagraph"/>
        <w:spacing w:after="0" w:line="240" w:lineRule="auto"/>
        <w:ind w:left="284" w:firstLine="709"/>
        <w:jc w:val="both"/>
        <w:rPr>
          <w:rFonts w:ascii="Times New Roman" w:hAnsi="Times New Roman"/>
          <w:sz w:val="20"/>
          <w:szCs w:val="20"/>
        </w:rPr>
      </w:pPr>
      <w:r w:rsidRPr="003A1A75">
        <w:rPr>
          <w:rFonts w:ascii="Times New Roman" w:hAnsi="Times New Roman"/>
          <w:sz w:val="20"/>
          <w:szCs w:val="20"/>
        </w:rPr>
        <w:t xml:space="preserve">Dalam sejarah perkembagannya, pengertian filsafat dibagi menjadi dua, yakni etimologi dan terminologi. Secara etimologi, filsafat dalam bahasa Arab dikenal dengan istilah </w:t>
      </w:r>
      <w:r w:rsidRPr="003A1A75">
        <w:rPr>
          <w:rFonts w:ascii="Times New Roman" w:hAnsi="Times New Roman"/>
          <w:i/>
          <w:sz w:val="20"/>
          <w:szCs w:val="20"/>
        </w:rPr>
        <w:t>falsafah</w:t>
      </w:r>
      <w:r w:rsidRPr="003A1A75">
        <w:rPr>
          <w:rFonts w:ascii="Times New Roman" w:hAnsi="Times New Roman"/>
          <w:sz w:val="20"/>
          <w:szCs w:val="20"/>
        </w:rPr>
        <w:t xml:space="preserve">, dalam bahasa Inggris dikenal dengan istilah </w:t>
      </w:r>
      <w:r w:rsidRPr="003A1A75">
        <w:rPr>
          <w:rFonts w:ascii="Times New Roman" w:hAnsi="Times New Roman"/>
          <w:i/>
          <w:sz w:val="20"/>
          <w:szCs w:val="20"/>
        </w:rPr>
        <w:t>phyloshophy</w:t>
      </w:r>
      <w:r w:rsidRPr="003A1A75">
        <w:rPr>
          <w:rFonts w:ascii="Times New Roman" w:hAnsi="Times New Roman"/>
          <w:sz w:val="20"/>
          <w:szCs w:val="20"/>
        </w:rPr>
        <w:t xml:space="preserve"> serta dalam bahasa Yunani dikenal dengan istilah </w:t>
      </w:r>
      <w:r w:rsidRPr="003A1A75">
        <w:rPr>
          <w:rFonts w:ascii="Times New Roman" w:hAnsi="Times New Roman"/>
          <w:i/>
          <w:sz w:val="20"/>
          <w:szCs w:val="20"/>
        </w:rPr>
        <w:t xml:space="preserve">philosophia. </w:t>
      </w:r>
      <w:proofErr w:type="gramStart"/>
      <w:r w:rsidRPr="003A1A75">
        <w:rPr>
          <w:rFonts w:ascii="Times New Roman" w:hAnsi="Times New Roman"/>
          <w:i/>
          <w:sz w:val="20"/>
          <w:szCs w:val="20"/>
        </w:rPr>
        <w:t>Phylosophia</w:t>
      </w:r>
      <w:r w:rsidRPr="003A1A75">
        <w:rPr>
          <w:rFonts w:ascii="Times New Roman" w:hAnsi="Times New Roman"/>
          <w:sz w:val="20"/>
          <w:szCs w:val="20"/>
        </w:rPr>
        <w:t xml:space="preserve"> berasal dari dua suku kata yakni </w:t>
      </w:r>
      <w:r w:rsidRPr="003A1A75">
        <w:rPr>
          <w:rFonts w:ascii="Times New Roman" w:hAnsi="Times New Roman"/>
          <w:i/>
          <w:sz w:val="20"/>
          <w:szCs w:val="20"/>
        </w:rPr>
        <w:t>philein</w:t>
      </w:r>
      <w:r w:rsidRPr="003A1A75">
        <w:rPr>
          <w:rFonts w:ascii="Times New Roman" w:hAnsi="Times New Roman"/>
          <w:sz w:val="20"/>
          <w:szCs w:val="20"/>
        </w:rPr>
        <w:t xml:space="preserve"> yang berarti cinta dan </w:t>
      </w:r>
      <w:r w:rsidRPr="003A1A75">
        <w:rPr>
          <w:rFonts w:ascii="Times New Roman" w:hAnsi="Times New Roman"/>
          <w:i/>
          <w:sz w:val="20"/>
          <w:szCs w:val="20"/>
        </w:rPr>
        <w:t>shopia</w:t>
      </w:r>
      <w:r w:rsidRPr="003A1A75">
        <w:rPr>
          <w:rFonts w:ascii="Times New Roman" w:hAnsi="Times New Roman"/>
          <w:sz w:val="20"/>
          <w:szCs w:val="20"/>
        </w:rPr>
        <w:t xml:space="preserve"> yang berarti kebijaksanaan.</w:t>
      </w:r>
      <w:proofErr w:type="gramEnd"/>
      <w:r w:rsidR="00EF3186">
        <w:rPr>
          <w:rStyle w:val="FootnoteReference"/>
          <w:rFonts w:ascii="Times New Roman" w:hAnsi="Times New Roman"/>
          <w:sz w:val="20"/>
          <w:szCs w:val="20"/>
        </w:rPr>
        <w:footnoteReference w:id="15"/>
      </w:r>
      <w:r w:rsidRPr="003A1A75">
        <w:rPr>
          <w:rFonts w:ascii="Times New Roman" w:hAnsi="Times New Roman"/>
          <w:sz w:val="20"/>
          <w:szCs w:val="20"/>
        </w:rPr>
        <w:t xml:space="preserve"> </w:t>
      </w:r>
      <w:proofErr w:type="gramStart"/>
      <w:r w:rsidRPr="003A1A75">
        <w:rPr>
          <w:rFonts w:ascii="Times New Roman" w:hAnsi="Times New Roman"/>
          <w:sz w:val="20"/>
          <w:szCs w:val="20"/>
        </w:rPr>
        <w:t>Dengan demikian para filsuf dapat diartikan sebagai pecinta atau pencari kebijaksanaan.</w:t>
      </w:r>
      <w:proofErr w:type="gramEnd"/>
      <w:r w:rsidRPr="003A1A75">
        <w:rPr>
          <w:rFonts w:ascii="Times New Roman" w:hAnsi="Times New Roman"/>
          <w:sz w:val="20"/>
          <w:szCs w:val="20"/>
        </w:rPr>
        <w:t xml:space="preserve"> Sedangkan secara terminologi ada beberapa pendapat para ahli yaitu menurut Aristoteles filsafat adalah ilmu yang mememuat kebenaran yang memuat ilmu-ilmu metafisika, logika, retorika, etika dan estetika. </w:t>
      </w:r>
      <w:proofErr w:type="gramStart"/>
      <w:r w:rsidRPr="003A1A75">
        <w:rPr>
          <w:rFonts w:ascii="Times New Roman" w:hAnsi="Times New Roman"/>
          <w:sz w:val="20"/>
          <w:szCs w:val="20"/>
        </w:rPr>
        <w:t>Sedangkan menurut</w:t>
      </w:r>
      <w:r w:rsidR="00DB1ED2">
        <w:rPr>
          <w:rFonts w:ascii="Times New Roman" w:hAnsi="Times New Roman"/>
          <w:sz w:val="20"/>
          <w:szCs w:val="20"/>
        </w:rPr>
        <w:t xml:space="preserve"> </w:t>
      </w:r>
      <w:r w:rsidR="00DB1ED2" w:rsidRPr="00DB1ED2">
        <w:rPr>
          <w:rFonts w:ascii="Times New Roman" w:hAnsi="Times New Roman"/>
          <w:sz w:val="20"/>
          <w:szCs w:val="20"/>
        </w:rPr>
        <w:t>Guntoro</w:t>
      </w:r>
      <w:r w:rsidRPr="003A1A75">
        <w:rPr>
          <w:rFonts w:ascii="Times New Roman" w:hAnsi="Times New Roman"/>
          <w:sz w:val="20"/>
          <w:szCs w:val="20"/>
        </w:rPr>
        <w:t xml:space="preserve"> filsafat diartikan sebagai upaya berfikir radikal, yaitu memikirkan secara mendalam terhadap sesuatu yang hendak dipertanyakan.</w:t>
      </w:r>
      <w:proofErr w:type="gramEnd"/>
      <w:r w:rsidRPr="003A1A75">
        <w:rPr>
          <w:rStyle w:val="FootnoteReference"/>
          <w:rFonts w:ascii="Times New Roman" w:hAnsi="Times New Roman"/>
          <w:sz w:val="20"/>
          <w:szCs w:val="20"/>
        </w:rPr>
        <w:footnoteReference w:id="16"/>
      </w:r>
    </w:p>
    <w:p w14:paraId="720EACFD" w14:textId="2A53800E" w:rsidR="003A1A75" w:rsidRPr="003A1A75" w:rsidRDefault="003A1A75" w:rsidP="00A97C73">
      <w:pPr>
        <w:pStyle w:val="ListParagraph"/>
        <w:spacing w:line="240" w:lineRule="auto"/>
        <w:ind w:left="284" w:firstLine="709"/>
        <w:jc w:val="both"/>
        <w:rPr>
          <w:rFonts w:ascii="Times New Roman" w:hAnsi="Times New Roman"/>
          <w:sz w:val="20"/>
          <w:szCs w:val="20"/>
        </w:rPr>
      </w:pPr>
      <w:r w:rsidRPr="003A1A75">
        <w:rPr>
          <w:rFonts w:ascii="Times New Roman" w:hAnsi="Times New Roman"/>
          <w:sz w:val="20"/>
          <w:szCs w:val="20"/>
        </w:rPr>
        <w:t xml:space="preserve">Definisi filsafat di atas menunjukkan bahwa filsafat berfungsi sebagai prinsip atau dasar keilmuan dalam mencari kebenaran suatu objek melalui cara berpikir yang mendalam dan mendasar. </w:t>
      </w:r>
      <w:proofErr w:type="gramStart"/>
      <w:r w:rsidRPr="003A1A75">
        <w:rPr>
          <w:rFonts w:ascii="Times New Roman" w:hAnsi="Times New Roman"/>
          <w:sz w:val="20"/>
          <w:szCs w:val="20"/>
        </w:rPr>
        <w:t>Objek yang diteliti dianalisis berdasarkan realitas empiris untuk menggali hakikat kebenaran suatu entitas dengan menggunakan metode yang dikenal sebagai metode ilmiah atau kebenaran ilmiah.</w:t>
      </w:r>
      <w:proofErr w:type="gramEnd"/>
    </w:p>
    <w:p w14:paraId="380F47EB" w14:textId="77777777" w:rsidR="003A1A75" w:rsidRPr="003A1A75" w:rsidRDefault="003A1A75" w:rsidP="00A97C73">
      <w:pPr>
        <w:pStyle w:val="ListParagraph"/>
        <w:numPr>
          <w:ilvl w:val="0"/>
          <w:numId w:val="6"/>
        </w:numPr>
        <w:spacing w:line="240" w:lineRule="auto"/>
        <w:ind w:left="284" w:hanging="284"/>
        <w:jc w:val="both"/>
        <w:rPr>
          <w:rFonts w:ascii="Times New Roman" w:hAnsi="Times New Roman"/>
          <w:sz w:val="20"/>
          <w:szCs w:val="20"/>
        </w:rPr>
      </w:pPr>
      <w:r w:rsidRPr="003A1A75">
        <w:rPr>
          <w:rFonts w:ascii="Times New Roman" w:hAnsi="Times New Roman"/>
          <w:sz w:val="20"/>
          <w:szCs w:val="20"/>
        </w:rPr>
        <w:t>Definisi logika keilmuan</w:t>
      </w:r>
    </w:p>
    <w:p w14:paraId="0FB212D6" w14:textId="4F4B6AC9" w:rsidR="003A1A75" w:rsidRPr="003A1A75" w:rsidRDefault="003A1A75" w:rsidP="00AF7341">
      <w:pPr>
        <w:pStyle w:val="ListParagraph"/>
        <w:spacing w:line="240" w:lineRule="auto"/>
        <w:ind w:left="284" w:firstLine="709"/>
        <w:jc w:val="both"/>
        <w:rPr>
          <w:rFonts w:ascii="Times New Roman" w:hAnsi="Times New Roman"/>
          <w:sz w:val="20"/>
          <w:szCs w:val="20"/>
        </w:rPr>
      </w:pPr>
      <w:r w:rsidRPr="003A1A75">
        <w:rPr>
          <w:rFonts w:ascii="Times New Roman" w:hAnsi="Times New Roman"/>
          <w:sz w:val="20"/>
          <w:szCs w:val="20"/>
        </w:rPr>
        <w:t>Secara etismologi, Kata “logika” sendiri berasal dari kata “Logos” yang berarti “kata” atau “pikiran”. Dalam bahasa Arab, istilah yang digunakan adalah “mantiq” yang diambil dari kata “nataqa” yang berarti “berbicara” atau “berkata”.</w:t>
      </w:r>
      <w:r w:rsidR="00EF3186">
        <w:rPr>
          <w:rStyle w:val="FootnoteReference"/>
          <w:rFonts w:ascii="Times New Roman" w:hAnsi="Times New Roman"/>
          <w:sz w:val="20"/>
          <w:szCs w:val="20"/>
        </w:rPr>
        <w:footnoteReference w:id="17"/>
      </w:r>
      <w:r w:rsidRPr="003A1A75">
        <w:rPr>
          <w:rFonts w:ascii="Times New Roman" w:hAnsi="Times New Roman"/>
          <w:sz w:val="20"/>
          <w:szCs w:val="20"/>
        </w:rPr>
        <w:t xml:space="preserve"> </w:t>
      </w:r>
      <w:proofErr w:type="gramStart"/>
      <w:r w:rsidRPr="003A1A75">
        <w:rPr>
          <w:rFonts w:ascii="Times New Roman" w:hAnsi="Times New Roman"/>
          <w:sz w:val="20"/>
          <w:szCs w:val="20"/>
        </w:rPr>
        <w:t>Atau secara sederhananya dinyatakan sebagai manifestasi atau buah dari pikiran manusia.</w:t>
      </w:r>
      <w:proofErr w:type="gramEnd"/>
      <w:r w:rsidRPr="003A1A75">
        <w:rPr>
          <w:rFonts w:ascii="Times New Roman" w:hAnsi="Times New Roman"/>
          <w:sz w:val="20"/>
          <w:szCs w:val="20"/>
        </w:rPr>
        <w:t xml:space="preserve"> Logika dapat diartikan sebagai suatu metode atau tekhnik yang diciptakan untuk menguji ketepatan dalam penalaran. Logika mengacu pada </w:t>
      </w:r>
      <w:proofErr w:type="gramStart"/>
      <w:r w:rsidRPr="003A1A75">
        <w:rPr>
          <w:rFonts w:ascii="Times New Roman" w:hAnsi="Times New Roman"/>
          <w:sz w:val="20"/>
          <w:szCs w:val="20"/>
        </w:rPr>
        <w:t>cara</w:t>
      </w:r>
      <w:proofErr w:type="gramEnd"/>
      <w:r w:rsidRPr="003A1A75">
        <w:rPr>
          <w:rFonts w:ascii="Times New Roman" w:hAnsi="Times New Roman"/>
          <w:sz w:val="20"/>
          <w:szCs w:val="20"/>
        </w:rPr>
        <w:t xml:space="preserve"> berfikir, cara hidup dan sikap hidup tertentu, yaitu kewajaranl.</w:t>
      </w:r>
      <w:r w:rsidR="00A97C73">
        <w:rPr>
          <w:rFonts w:ascii="Times New Roman" w:hAnsi="Times New Roman"/>
          <w:sz w:val="20"/>
          <w:szCs w:val="20"/>
        </w:rPr>
        <w:t xml:space="preserve"> </w:t>
      </w:r>
      <w:r w:rsidRPr="003A1A75">
        <w:rPr>
          <w:rFonts w:ascii="Times New Roman" w:hAnsi="Times New Roman"/>
          <w:sz w:val="20"/>
          <w:szCs w:val="20"/>
        </w:rPr>
        <w:t xml:space="preserve">Sebagai ilmu, logika mempelajari keterampilan berpikir dengan cara yang jelas, akurat, dan terstruktur. </w:t>
      </w:r>
      <w:proofErr w:type="gramStart"/>
      <w:r w:rsidRPr="003A1A75">
        <w:rPr>
          <w:rFonts w:ascii="Times New Roman" w:hAnsi="Times New Roman"/>
          <w:sz w:val="20"/>
          <w:szCs w:val="20"/>
        </w:rPr>
        <w:t>Ilmu ini merujuk pada kemampuan berpikir rasional untuk memahami, sementara keterampilan berkaitan dengan kemampuan pikiran dalam mengaplikasikan pengetahuan tersebut ke dalam tindakan.</w:t>
      </w:r>
      <w:proofErr w:type="gramEnd"/>
      <w:r w:rsidR="00AF7341">
        <w:rPr>
          <w:rFonts w:ascii="Times New Roman" w:hAnsi="Times New Roman"/>
          <w:sz w:val="20"/>
          <w:szCs w:val="20"/>
        </w:rPr>
        <w:t xml:space="preserve"> </w:t>
      </w:r>
      <w:r w:rsidR="00A97C73" w:rsidRPr="00A97C73">
        <w:rPr>
          <w:rFonts w:ascii="Times New Roman" w:hAnsi="Times New Roman"/>
          <w:sz w:val="20"/>
          <w:szCs w:val="20"/>
        </w:rPr>
        <w:t xml:space="preserve">Muhamad Rakhmat </w:t>
      </w:r>
      <w:r w:rsidRPr="003A1A75">
        <w:rPr>
          <w:rFonts w:ascii="Times New Roman" w:hAnsi="Times New Roman"/>
          <w:sz w:val="20"/>
          <w:szCs w:val="20"/>
        </w:rPr>
        <w:t xml:space="preserve">berpendapat bahwa logika sebagai kajian untuk berfikir secara sahih, hakikat dari pengertian ini adalah untuk menegaskan bahwa logika harus difahami lewat penalaran, pendapat </w:t>
      </w:r>
      <w:r w:rsidR="00A97C73" w:rsidRPr="00A97C73">
        <w:rPr>
          <w:rFonts w:ascii="Times New Roman" w:hAnsi="Times New Roman"/>
          <w:sz w:val="20"/>
          <w:szCs w:val="20"/>
        </w:rPr>
        <w:t xml:space="preserve">Muhamad Rakhmat </w:t>
      </w:r>
      <w:r w:rsidRPr="003A1A75">
        <w:rPr>
          <w:rFonts w:ascii="Times New Roman" w:hAnsi="Times New Roman"/>
          <w:sz w:val="20"/>
          <w:szCs w:val="20"/>
        </w:rPr>
        <w:t>ini selaras dengan pendapat Encyclopedia Britannica bahwasanya logika dapat dikatakan sebagai metode atau teknik untuk meneliti ketepatan penalaran.</w:t>
      </w:r>
      <w:r w:rsidRPr="003A1A75">
        <w:rPr>
          <w:rStyle w:val="FootnoteReference"/>
          <w:rFonts w:ascii="Times New Roman" w:hAnsi="Times New Roman"/>
          <w:sz w:val="20"/>
          <w:szCs w:val="20"/>
        </w:rPr>
        <w:footnoteReference w:id="18"/>
      </w:r>
      <w:r w:rsidR="002D5ABD">
        <w:rPr>
          <w:rFonts w:ascii="Times New Roman" w:hAnsi="Times New Roman"/>
          <w:sz w:val="20"/>
          <w:szCs w:val="20"/>
        </w:rPr>
        <w:t xml:space="preserve"> </w:t>
      </w:r>
      <w:proofErr w:type="gramStart"/>
      <w:r w:rsidRPr="003A1A75">
        <w:rPr>
          <w:rFonts w:ascii="Times New Roman" w:hAnsi="Times New Roman"/>
          <w:sz w:val="20"/>
          <w:szCs w:val="20"/>
        </w:rPr>
        <w:t xml:space="preserve">Logika menjadi dasar </w:t>
      </w:r>
      <w:r w:rsidRPr="003A1A75">
        <w:rPr>
          <w:rFonts w:ascii="Times New Roman" w:hAnsi="Times New Roman"/>
          <w:sz w:val="20"/>
          <w:szCs w:val="20"/>
        </w:rPr>
        <w:lastRenderedPageBreak/>
        <w:t>mencapai kebenaran suatu ilmu pengetahuan, sepeti yang diungkapkan oleh aristoteles bahwasanya logika menjadi suatu alat untuk mencapai kebenaran.</w:t>
      </w:r>
      <w:proofErr w:type="gramEnd"/>
      <w:r w:rsidRPr="003A1A75">
        <w:rPr>
          <w:rFonts w:ascii="Times New Roman" w:hAnsi="Times New Roman"/>
          <w:sz w:val="20"/>
          <w:szCs w:val="20"/>
        </w:rPr>
        <w:t xml:space="preserve"> Jan Hedrik Rapar</w:t>
      </w:r>
      <w:r w:rsidR="00DB1ED2">
        <w:rPr>
          <w:rFonts w:ascii="Times New Roman" w:hAnsi="Times New Roman"/>
          <w:sz w:val="20"/>
          <w:szCs w:val="20"/>
        </w:rPr>
        <w:t xml:space="preserve"> dalam Hengki Irawan Setia Budi </w:t>
      </w:r>
      <w:r w:rsidRPr="003A1A75">
        <w:rPr>
          <w:rFonts w:ascii="Times New Roman" w:hAnsi="Times New Roman"/>
          <w:sz w:val="20"/>
          <w:szCs w:val="20"/>
        </w:rPr>
        <w:t>mengungkapkan bahwa logika dapat membantu individu dapat berfikir seacara logis dan jelas, dapat meningkatkan kemampuan berfikir secara abstrak, menambah kecerdasan dan meningkatkan kemampuan secara tajam, serta meningkatkan rasa ingin menggapai kebenaran dan menghindari kekeliruan atau kesesatan.</w:t>
      </w:r>
      <w:r w:rsidRPr="003A1A75">
        <w:rPr>
          <w:rStyle w:val="FootnoteReference"/>
          <w:rFonts w:ascii="Times New Roman" w:hAnsi="Times New Roman"/>
          <w:sz w:val="20"/>
          <w:szCs w:val="20"/>
        </w:rPr>
        <w:footnoteReference w:id="19"/>
      </w:r>
    </w:p>
    <w:p w14:paraId="3D8948C6" w14:textId="77777777" w:rsidR="003A1A75" w:rsidRPr="00A97C73" w:rsidRDefault="003A1A75" w:rsidP="003A1A75">
      <w:pPr>
        <w:pStyle w:val="ListParagraph"/>
        <w:spacing w:line="240" w:lineRule="auto"/>
        <w:ind w:left="0"/>
        <w:rPr>
          <w:rFonts w:ascii="Times New Roman" w:hAnsi="Times New Roman"/>
          <w:i/>
          <w:sz w:val="20"/>
          <w:szCs w:val="20"/>
        </w:rPr>
      </w:pPr>
      <w:r w:rsidRPr="00A97C73">
        <w:rPr>
          <w:rFonts w:ascii="Times New Roman" w:hAnsi="Times New Roman"/>
          <w:i/>
          <w:sz w:val="20"/>
          <w:szCs w:val="20"/>
        </w:rPr>
        <w:t>Integrasi-interkoneksi Bimbingan Konseling Islam</w:t>
      </w:r>
    </w:p>
    <w:p w14:paraId="56B9B423" w14:textId="77777777" w:rsidR="003A1A75" w:rsidRPr="003A1A75" w:rsidRDefault="003A1A75" w:rsidP="00AF7341">
      <w:pPr>
        <w:pStyle w:val="ListParagraph"/>
        <w:numPr>
          <w:ilvl w:val="0"/>
          <w:numId w:val="7"/>
        </w:numPr>
        <w:spacing w:line="240" w:lineRule="auto"/>
        <w:ind w:left="284" w:hanging="284"/>
        <w:rPr>
          <w:rFonts w:ascii="Times New Roman" w:hAnsi="Times New Roman"/>
          <w:sz w:val="20"/>
          <w:szCs w:val="20"/>
        </w:rPr>
      </w:pPr>
      <w:r w:rsidRPr="003A1A75">
        <w:rPr>
          <w:rFonts w:ascii="Times New Roman" w:hAnsi="Times New Roman"/>
          <w:sz w:val="20"/>
          <w:szCs w:val="20"/>
        </w:rPr>
        <w:t>Pengertian integrasi-interkoneksi</w:t>
      </w:r>
    </w:p>
    <w:p w14:paraId="254529AF" w14:textId="1850EDE2" w:rsidR="003A1A75" w:rsidRPr="003A1A75" w:rsidRDefault="003A1A75" w:rsidP="00AF7341">
      <w:pPr>
        <w:pStyle w:val="ListParagraph"/>
        <w:spacing w:line="240" w:lineRule="auto"/>
        <w:ind w:left="284" w:firstLine="709"/>
        <w:jc w:val="both"/>
        <w:rPr>
          <w:rFonts w:ascii="Times New Roman" w:hAnsi="Times New Roman"/>
          <w:sz w:val="20"/>
          <w:szCs w:val="20"/>
        </w:rPr>
      </w:pPr>
      <w:r w:rsidRPr="003A1A75">
        <w:rPr>
          <w:rFonts w:ascii="Times New Roman" w:hAnsi="Times New Roman"/>
          <w:sz w:val="20"/>
          <w:szCs w:val="20"/>
        </w:rPr>
        <w:t xml:space="preserve">Integratisi-interkoneksi digagas oleh Amin Abdullah saat menjabat sebagai rektor UIN Sunan Kalijaga pada periode pertama. Paradigma integrasi-interkoneksi ini dibangun sebagai respon terhadap permasalahan masyarakat yang terjadi di era modern saat ini. Gagasan ini merupakan jawaban terhadap dikotomi keilmuan islam dengan keilmuan umum yang selama ini terjadi. Dalam pandangan Amin Abdullah, setiap fenomena kehidupan manusia memerlukan pendekatan multidimensional yang mengintegrasikan berbagai perspektif keilmuan, baik dari ranah religious studies, social sciences, maupun humanities. </w:t>
      </w:r>
      <w:proofErr w:type="gramStart"/>
      <w:r w:rsidRPr="003A1A75">
        <w:rPr>
          <w:rFonts w:ascii="Times New Roman" w:hAnsi="Times New Roman"/>
          <w:sz w:val="20"/>
          <w:szCs w:val="20"/>
        </w:rPr>
        <w:t xml:space="preserve">Beliau menekankan bahwa tidak ada disiplin ilmu yang dapat berdiri secara independen </w:t>
      </w:r>
      <w:r w:rsidRPr="002D5ABD">
        <w:rPr>
          <w:rFonts w:ascii="Times New Roman" w:hAnsi="Times New Roman"/>
          <w:i/>
          <w:sz w:val="20"/>
          <w:szCs w:val="20"/>
        </w:rPr>
        <w:t>(self-sufficient</w:t>
      </w:r>
      <w:r w:rsidR="002D5ABD">
        <w:rPr>
          <w:rFonts w:ascii="Times New Roman" w:hAnsi="Times New Roman"/>
          <w:sz w:val="20"/>
          <w:szCs w:val="20"/>
        </w:rPr>
        <w:t>)</w:t>
      </w:r>
      <w:r w:rsidRPr="003A1A75">
        <w:rPr>
          <w:rFonts w:ascii="Times New Roman" w:hAnsi="Times New Roman"/>
          <w:sz w:val="20"/>
          <w:szCs w:val="20"/>
        </w:rPr>
        <w:t xml:space="preserve"> sebaliknya, setiap bidang keilmuan saling berintegrasi dan berinterkoneksi dalam jaringan epistemologis yang kompleks untuk memahami realitas secara komprehensif.</w:t>
      </w:r>
      <w:proofErr w:type="gramEnd"/>
      <w:r w:rsidR="0097252F">
        <w:rPr>
          <w:rFonts w:ascii="Times New Roman" w:hAnsi="Times New Roman"/>
          <w:sz w:val="20"/>
          <w:szCs w:val="20"/>
        </w:rPr>
        <w:t xml:space="preserve"> </w:t>
      </w:r>
      <w:proofErr w:type="gramStart"/>
      <w:r w:rsidRPr="003A1A75">
        <w:rPr>
          <w:rFonts w:ascii="Times New Roman" w:hAnsi="Times New Roman"/>
          <w:color w:val="2E2F30"/>
          <w:sz w:val="20"/>
          <w:szCs w:val="20"/>
          <w:shd w:val="clear" w:color="auto" w:fill="FFFFFF"/>
        </w:rPr>
        <w:t>Paradigma ini memberikan perspektif baru bagi umat beragama dan para ilmuwan untuk saling terbuka,</w:t>
      </w:r>
      <w:r w:rsidRPr="003A1A75">
        <w:rPr>
          <w:rFonts w:ascii="Times New Roman" w:hAnsi="Times New Roman"/>
          <w:color w:val="FFFFFF" w:themeColor="background1"/>
          <w:sz w:val="20"/>
          <w:szCs w:val="20"/>
          <w:shd w:val="clear" w:color="auto" w:fill="FFFFFF"/>
        </w:rPr>
        <w:t xml:space="preserve"> </w:t>
      </w:r>
      <w:r w:rsidRPr="003A1A75">
        <w:rPr>
          <w:rFonts w:ascii="Times New Roman" w:hAnsi="Times New Roman"/>
          <w:color w:val="2E2F30"/>
          <w:sz w:val="20"/>
          <w:szCs w:val="20"/>
          <w:shd w:val="clear" w:color="auto" w:fill="FFFFFF"/>
        </w:rPr>
        <w:t>dan menghindari saling menyalahkan antara berbagai disiplin ilmu.</w:t>
      </w:r>
      <w:proofErr w:type="gramEnd"/>
      <w:r w:rsidRPr="003A1A75">
        <w:rPr>
          <w:rFonts w:ascii="Times New Roman" w:hAnsi="Times New Roman"/>
          <w:color w:val="2E2F30"/>
          <w:sz w:val="20"/>
          <w:szCs w:val="20"/>
          <w:shd w:val="clear" w:color="auto" w:fill="FFFFFF"/>
        </w:rPr>
        <w:t xml:space="preserve"> Menurut Badarussyamsi, adanya hubungan dan integrasi antara ilmu agama dan ilmu sains dapat memberikan kontribusi dalam menyelesaikan masalah yang dihadapi dalam kehidupan manusia.</w:t>
      </w:r>
      <w:r w:rsidRPr="003A1A75">
        <w:rPr>
          <w:rFonts w:ascii="Times New Roman" w:hAnsi="Times New Roman"/>
          <w:sz w:val="20"/>
          <w:szCs w:val="20"/>
        </w:rPr>
        <w:t xml:space="preserve"> Oleh karena itu, mempelajari ilmu pengetahuan dengan memanfaatkan bidang keilmuan lain disebut integrasi dan melihat keterkaitan antar berbagai disiplin ilmu disebut interkoneksi.</w:t>
      </w:r>
      <w:r w:rsidR="0097252F">
        <w:rPr>
          <w:rFonts w:ascii="Times New Roman" w:hAnsi="Times New Roman"/>
          <w:sz w:val="20"/>
          <w:szCs w:val="20"/>
        </w:rPr>
        <w:t xml:space="preserve"> </w:t>
      </w:r>
      <w:r w:rsidRPr="003A1A75">
        <w:rPr>
          <w:rFonts w:ascii="Times New Roman" w:hAnsi="Times New Roman"/>
          <w:sz w:val="20"/>
          <w:szCs w:val="20"/>
        </w:rPr>
        <w:t xml:space="preserve">Pendekatan integrasi-interkoneksi tidak </w:t>
      </w:r>
      <w:proofErr w:type="gramStart"/>
      <w:r w:rsidRPr="003A1A75">
        <w:rPr>
          <w:rFonts w:ascii="Times New Roman" w:hAnsi="Times New Roman"/>
          <w:sz w:val="20"/>
          <w:szCs w:val="20"/>
        </w:rPr>
        <w:t>akan</w:t>
      </w:r>
      <w:proofErr w:type="gramEnd"/>
      <w:r w:rsidRPr="003A1A75">
        <w:rPr>
          <w:rFonts w:ascii="Times New Roman" w:hAnsi="Times New Roman"/>
          <w:sz w:val="20"/>
          <w:szCs w:val="20"/>
        </w:rPr>
        <w:t xml:space="preserve"> saling melebur atau saling melumat antara ilmu satu dengan ilmu lainnya, melainkan pendekatan ini berusaha untuk saling menghargai keterbatasan antara ilmu yang satu dengan ilmu lainnya dalam memecahkan persoalan manusia sehingga dapat melahirkan sebuah kerjasam untuk saling memahami pendekatan dan metode berfikir diantara kedua ilmu tersebut.</w:t>
      </w:r>
      <w:r w:rsidRPr="003A1A75">
        <w:rPr>
          <w:rStyle w:val="FootnoteReference"/>
          <w:rFonts w:ascii="Times New Roman" w:hAnsi="Times New Roman"/>
          <w:sz w:val="20"/>
          <w:szCs w:val="20"/>
        </w:rPr>
        <w:footnoteReference w:id="20"/>
      </w:r>
    </w:p>
    <w:p w14:paraId="695CF1E4" w14:textId="77777777" w:rsidR="003A1A75" w:rsidRPr="003A1A75" w:rsidRDefault="003A1A75" w:rsidP="00AF7341">
      <w:pPr>
        <w:pStyle w:val="ListParagraph"/>
        <w:numPr>
          <w:ilvl w:val="0"/>
          <w:numId w:val="7"/>
        </w:numPr>
        <w:spacing w:line="240" w:lineRule="auto"/>
        <w:ind w:left="284" w:hanging="284"/>
        <w:jc w:val="both"/>
        <w:rPr>
          <w:rFonts w:ascii="Times New Roman" w:hAnsi="Times New Roman"/>
          <w:sz w:val="20"/>
          <w:szCs w:val="20"/>
        </w:rPr>
      </w:pPr>
      <w:r w:rsidRPr="003A1A75">
        <w:rPr>
          <w:rFonts w:ascii="Times New Roman" w:hAnsi="Times New Roman"/>
          <w:sz w:val="20"/>
          <w:szCs w:val="20"/>
        </w:rPr>
        <w:t>Pengertian Bimbingan Konseling Islam</w:t>
      </w:r>
    </w:p>
    <w:p w14:paraId="7EC49221" w14:textId="1B4C8E15" w:rsidR="003A1A75" w:rsidRPr="003A1A75" w:rsidRDefault="003A1A75" w:rsidP="00AF7341">
      <w:pPr>
        <w:pStyle w:val="ListParagraph"/>
        <w:spacing w:line="240" w:lineRule="auto"/>
        <w:ind w:left="284" w:firstLine="709"/>
        <w:jc w:val="both"/>
        <w:rPr>
          <w:rFonts w:ascii="Times New Roman" w:hAnsi="Times New Roman"/>
          <w:sz w:val="20"/>
          <w:szCs w:val="20"/>
        </w:rPr>
      </w:pPr>
      <w:r w:rsidRPr="003A1A75">
        <w:rPr>
          <w:rFonts w:ascii="Times New Roman" w:hAnsi="Times New Roman"/>
          <w:sz w:val="20"/>
          <w:szCs w:val="20"/>
        </w:rPr>
        <w:t xml:space="preserve">Sebagai makhluk yang mempunyai berbagai macam permasalahan kehidupan, setiap manusia diberikan petunjuk penyelesaian dari permasalahan yang dihadapinya. Namun, tidak semua permasalahan dapat diselesaikan secara mandiri. Oleh karena itu diperlukan </w:t>
      </w:r>
      <w:proofErr w:type="gramStart"/>
      <w:r w:rsidRPr="003A1A75">
        <w:rPr>
          <w:rFonts w:ascii="Times New Roman" w:hAnsi="Times New Roman"/>
          <w:sz w:val="20"/>
          <w:szCs w:val="20"/>
        </w:rPr>
        <w:t>tenaga  ahli</w:t>
      </w:r>
      <w:proofErr w:type="gramEnd"/>
      <w:r w:rsidRPr="003A1A75">
        <w:rPr>
          <w:rFonts w:ascii="Times New Roman" w:hAnsi="Times New Roman"/>
          <w:sz w:val="20"/>
          <w:szCs w:val="20"/>
        </w:rPr>
        <w:t xml:space="preserve"> yang berkompeten sesuai dengan jenis permasalahan yang dihadapinya, salah satunyaa adalah ahli Bimbingan Konseling Islam yang focus membantu </w:t>
      </w:r>
      <w:r w:rsidRPr="003A1A75">
        <w:rPr>
          <w:rFonts w:ascii="Times New Roman" w:hAnsi="Times New Roman"/>
          <w:sz w:val="20"/>
          <w:szCs w:val="20"/>
        </w:rPr>
        <w:lastRenderedPageBreak/>
        <w:t>klien dalam memecahkan  permasalah kehidupan.</w:t>
      </w:r>
      <w:r w:rsidR="00AF7341">
        <w:rPr>
          <w:rFonts w:ascii="Times New Roman" w:hAnsi="Times New Roman"/>
          <w:sz w:val="20"/>
          <w:szCs w:val="20"/>
        </w:rPr>
        <w:t xml:space="preserve"> </w:t>
      </w:r>
      <w:r w:rsidRPr="003A1A75">
        <w:rPr>
          <w:rFonts w:ascii="Times New Roman" w:hAnsi="Times New Roman"/>
          <w:sz w:val="20"/>
          <w:szCs w:val="20"/>
        </w:rPr>
        <w:t>Konseling dalam bahasa arab disebut “</w:t>
      </w:r>
      <w:r w:rsidRPr="003A1A75">
        <w:rPr>
          <w:rFonts w:ascii="Times New Roman" w:hAnsi="Times New Roman"/>
          <w:i/>
          <w:sz w:val="20"/>
          <w:szCs w:val="20"/>
        </w:rPr>
        <w:t>al-irsyad”</w:t>
      </w:r>
      <w:r w:rsidRPr="003A1A75">
        <w:rPr>
          <w:rFonts w:ascii="Times New Roman" w:hAnsi="Times New Roman"/>
          <w:sz w:val="20"/>
          <w:szCs w:val="20"/>
        </w:rPr>
        <w:t xml:space="preserve"> yang berarti bimbingan, dan bimbingan disebut “</w:t>
      </w:r>
      <w:r w:rsidRPr="003A1A75">
        <w:rPr>
          <w:rFonts w:ascii="Times New Roman" w:hAnsi="Times New Roman"/>
          <w:i/>
          <w:sz w:val="20"/>
          <w:szCs w:val="20"/>
        </w:rPr>
        <w:t>attaujih</w:t>
      </w:r>
      <w:proofErr w:type="gramStart"/>
      <w:r w:rsidRPr="003A1A75">
        <w:rPr>
          <w:rFonts w:ascii="Times New Roman" w:hAnsi="Times New Roman"/>
          <w:i/>
          <w:sz w:val="20"/>
          <w:szCs w:val="20"/>
        </w:rPr>
        <w:t xml:space="preserve">” </w:t>
      </w:r>
      <w:r w:rsidRPr="003A1A75">
        <w:rPr>
          <w:rFonts w:ascii="Times New Roman" w:hAnsi="Times New Roman"/>
          <w:sz w:val="20"/>
          <w:szCs w:val="20"/>
        </w:rPr>
        <w:t xml:space="preserve"> berarti</w:t>
      </w:r>
      <w:proofErr w:type="gramEnd"/>
      <w:r w:rsidRPr="003A1A75">
        <w:rPr>
          <w:rFonts w:ascii="Times New Roman" w:hAnsi="Times New Roman"/>
          <w:sz w:val="20"/>
          <w:szCs w:val="20"/>
        </w:rPr>
        <w:t xml:space="preserve"> meminta nasihat. Menurut</w:t>
      </w:r>
      <w:r w:rsidR="00AF7341">
        <w:rPr>
          <w:rFonts w:ascii="Times New Roman" w:hAnsi="Times New Roman"/>
          <w:sz w:val="20"/>
          <w:szCs w:val="20"/>
        </w:rPr>
        <w:t xml:space="preserve"> </w:t>
      </w:r>
      <w:r w:rsidR="00AF7341" w:rsidRPr="00AF7341">
        <w:rPr>
          <w:rFonts w:ascii="Times New Roman" w:hAnsi="Times New Roman"/>
          <w:sz w:val="20"/>
          <w:szCs w:val="20"/>
        </w:rPr>
        <w:t>M. Fuad Anwar</w:t>
      </w:r>
      <w:r w:rsidRPr="003A1A75">
        <w:rPr>
          <w:rFonts w:ascii="Times New Roman" w:hAnsi="Times New Roman"/>
          <w:sz w:val="20"/>
          <w:szCs w:val="20"/>
        </w:rPr>
        <w:t xml:space="preserve">, Bimbingan dan Konseling Islam adalah suatu proses pemberian bantuan yang terarah, berkesinambungan dan sistematis kepada setiap individu, agar </w:t>
      </w:r>
      <w:proofErr w:type="gramStart"/>
      <w:r w:rsidRPr="003A1A75">
        <w:rPr>
          <w:rFonts w:ascii="Times New Roman" w:hAnsi="Times New Roman"/>
          <w:sz w:val="20"/>
          <w:szCs w:val="20"/>
        </w:rPr>
        <w:t>ia</w:t>
      </w:r>
      <w:proofErr w:type="gramEnd"/>
      <w:r w:rsidRPr="003A1A75">
        <w:rPr>
          <w:rFonts w:ascii="Times New Roman" w:hAnsi="Times New Roman"/>
          <w:sz w:val="20"/>
          <w:szCs w:val="20"/>
        </w:rPr>
        <w:t xml:space="preserve"> dapat mengembangkan potensi atau sifat keagamaannya secara optimal dengan melakukan internalisasi Al-Qur’an dan Hadis.</w:t>
      </w:r>
      <w:r w:rsidRPr="003A1A75">
        <w:rPr>
          <w:rStyle w:val="FootnoteReference"/>
          <w:rFonts w:ascii="Times New Roman" w:hAnsi="Times New Roman"/>
          <w:sz w:val="20"/>
          <w:szCs w:val="20"/>
        </w:rPr>
        <w:footnoteReference w:id="21"/>
      </w:r>
      <w:r w:rsidR="00AF7341">
        <w:rPr>
          <w:rFonts w:ascii="Times New Roman" w:hAnsi="Times New Roman"/>
          <w:sz w:val="20"/>
          <w:szCs w:val="20"/>
        </w:rPr>
        <w:t xml:space="preserve"> </w:t>
      </w:r>
      <w:proofErr w:type="gramStart"/>
      <w:r w:rsidRPr="003A1A75">
        <w:rPr>
          <w:rFonts w:ascii="Times New Roman" w:hAnsi="Times New Roman"/>
          <w:sz w:val="20"/>
          <w:szCs w:val="20"/>
        </w:rPr>
        <w:t>Tujuan utama Bimbingan Konseling Islam adalah agar sifat konseli dapat berkembang dengan baik, sehingga menjadi pribadi yang kaffah yang menjadikan dirinya taat dan tunduk kepada Tuhan serta mampu hidup sesuai dengan norma-norma yang ada di masyarakat dengan baik.</w:t>
      </w:r>
      <w:proofErr w:type="gramEnd"/>
      <w:r w:rsidRPr="003A1A75">
        <w:rPr>
          <w:rStyle w:val="FootnoteReference"/>
          <w:rFonts w:ascii="Times New Roman" w:hAnsi="Times New Roman"/>
          <w:sz w:val="20"/>
          <w:szCs w:val="20"/>
        </w:rPr>
        <w:footnoteReference w:id="22"/>
      </w:r>
    </w:p>
    <w:p w14:paraId="56270A47" w14:textId="77777777" w:rsidR="003A1A75" w:rsidRPr="00A97C73" w:rsidRDefault="003A1A75" w:rsidP="00A97C73">
      <w:pPr>
        <w:pStyle w:val="ListParagraph"/>
        <w:spacing w:line="240" w:lineRule="auto"/>
        <w:ind w:left="0"/>
        <w:jc w:val="both"/>
        <w:rPr>
          <w:rFonts w:ascii="Times New Roman" w:hAnsi="Times New Roman"/>
          <w:i/>
          <w:sz w:val="20"/>
          <w:szCs w:val="20"/>
        </w:rPr>
      </w:pPr>
      <w:proofErr w:type="gramStart"/>
      <w:r w:rsidRPr="00A97C73">
        <w:rPr>
          <w:rFonts w:ascii="Times New Roman" w:hAnsi="Times New Roman"/>
          <w:i/>
          <w:sz w:val="20"/>
          <w:szCs w:val="20"/>
        </w:rPr>
        <w:t>Filsafat dan logika keilmuan sebagai dasar integrasi-interkoneksi Bimbingan Konseling Islam.</w:t>
      </w:r>
      <w:proofErr w:type="gramEnd"/>
    </w:p>
    <w:p w14:paraId="32C21D3C" w14:textId="2B4297D9" w:rsidR="003A1A75" w:rsidRPr="003A1A75" w:rsidRDefault="003A1A75" w:rsidP="00AF7341">
      <w:pPr>
        <w:pStyle w:val="ListParagraph"/>
        <w:spacing w:line="240" w:lineRule="auto"/>
        <w:ind w:left="0" w:firstLine="709"/>
        <w:jc w:val="both"/>
        <w:rPr>
          <w:rFonts w:ascii="Times New Roman" w:hAnsi="Times New Roman"/>
          <w:sz w:val="20"/>
          <w:szCs w:val="20"/>
        </w:rPr>
      </w:pPr>
      <w:r w:rsidRPr="003A1A75">
        <w:rPr>
          <w:rFonts w:ascii="Times New Roman" w:hAnsi="Times New Roman"/>
          <w:sz w:val="20"/>
          <w:szCs w:val="20"/>
        </w:rPr>
        <w:t>Jhon J. Pietropesa</w:t>
      </w:r>
      <w:r w:rsidR="00AF7341">
        <w:rPr>
          <w:rFonts w:ascii="Times New Roman" w:hAnsi="Times New Roman"/>
          <w:sz w:val="20"/>
          <w:szCs w:val="20"/>
        </w:rPr>
        <w:t xml:space="preserve"> dalam </w:t>
      </w:r>
      <w:r w:rsidR="00AF7341" w:rsidRPr="00AF7341">
        <w:rPr>
          <w:rFonts w:ascii="Times New Roman" w:hAnsi="Times New Roman"/>
          <w:sz w:val="20"/>
          <w:szCs w:val="20"/>
        </w:rPr>
        <w:t>Agus Sukirno</w:t>
      </w:r>
      <w:r w:rsidRPr="003A1A75">
        <w:rPr>
          <w:rFonts w:ascii="Times New Roman" w:hAnsi="Times New Roman"/>
          <w:sz w:val="20"/>
          <w:szCs w:val="20"/>
        </w:rPr>
        <w:t xml:space="preserve"> menyatakan bahwa terdapat beberapa prinsip yang memiliki kaitan antara filsafat dengan bimbingan konseling yaitu “</w:t>
      </w:r>
      <w:r w:rsidRPr="003A1A75">
        <w:rPr>
          <w:rFonts w:ascii="Times New Roman" w:hAnsi="Times New Roman"/>
          <w:i/>
          <w:sz w:val="20"/>
          <w:szCs w:val="20"/>
        </w:rPr>
        <w:t>objective viewing”</w:t>
      </w:r>
      <w:r w:rsidRPr="003A1A75">
        <w:rPr>
          <w:rFonts w:ascii="Times New Roman" w:hAnsi="Times New Roman"/>
          <w:sz w:val="20"/>
          <w:szCs w:val="20"/>
        </w:rPr>
        <w:t xml:space="preserve"> dan “</w:t>
      </w:r>
      <w:r w:rsidRPr="003A1A75">
        <w:rPr>
          <w:rFonts w:ascii="Times New Roman" w:hAnsi="Times New Roman"/>
          <w:i/>
          <w:sz w:val="20"/>
          <w:szCs w:val="20"/>
        </w:rPr>
        <w:t>the counselor must have the best interest of the client at the heart”</w:t>
      </w:r>
      <w:r w:rsidRPr="003A1A75">
        <w:rPr>
          <w:rFonts w:ascii="Times New Roman" w:hAnsi="Times New Roman"/>
          <w:sz w:val="20"/>
          <w:szCs w:val="20"/>
        </w:rPr>
        <w:t>. Makna dari “</w:t>
      </w:r>
      <w:r w:rsidRPr="003A1A75">
        <w:rPr>
          <w:rFonts w:ascii="Times New Roman" w:hAnsi="Times New Roman"/>
          <w:i/>
          <w:sz w:val="20"/>
          <w:szCs w:val="20"/>
        </w:rPr>
        <w:t>ojective viewing</w:t>
      </w:r>
      <w:proofErr w:type="gramStart"/>
      <w:r w:rsidRPr="003A1A75">
        <w:rPr>
          <w:rFonts w:ascii="Times New Roman" w:hAnsi="Times New Roman"/>
          <w:i/>
          <w:sz w:val="20"/>
          <w:szCs w:val="20"/>
        </w:rPr>
        <w:t xml:space="preserve">” </w:t>
      </w:r>
      <w:r w:rsidRPr="003A1A75">
        <w:rPr>
          <w:rFonts w:ascii="Times New Roman" w:hAnsi="Times New Roman"/>
          <w:sz w:val="20"/>
          <w:szCs w:val="20"/>
        </w:rPr>
        <w:t xml:space="preserve"> adalah</w:t>
      </w:r>
      <w:proofErr w:type="gramEnd"/>
      <w:r w:rsidRPr="003A1A75">
        <w:rPr>
          <w:rFonts w:ascii="Times New Roman" w:hAnsi="Times New Roman"/>
          <w:sz w:val="20"/>
          <w:szCs w:val="20"/>
        </w:rPr>
        <w:t xml:space="preserve"> konselor membantu konseli dalam menetapkan atau memantapkan pilihannnya agar tidak terjadi kebimbingan atau keragu-raguan dalam mengambil keputusan. Sedangkan “</w:t>
      </w:r>
      <w:r w:rsidRPr="003A1A75">
        <w:rPr>
          <w:rFonts w:ascii="Times New Roman" w:hAnsi="Times New Roman"/>
          <w:i/>
          <w:sz w:val="20"/>
          <w:szCs w:val="20"/>
        </w:rPr>
        <w:t>the counselor must have the best interest of the client at the heart”</w:t>
      </w:r>
      <w:r w:rsidRPr="003A1A75">
        <w:rPr>
          <w:rFonts w:ascii="Times New Roman" w:hAnsi="Times New Roman"/>
          <w:sz w:val="20"/>
          <w:szCs w:val="20"/>
        </w:rPr>
        <w:t xml:space="preserve"> memiliki makna bahwa konselor berupaya memaksimalkan keterampilan konselingnya dalam upaya mengembangkan keterampilan konseli dalam mengatasi permasalahannya.</w:t>
      </w:r>
      <w:r w:rsidRPr="003A1A75">
        <w:rPr>
          <w:rStyle w:val="FootnoteReference"/>
          <w:rFonts w:ascii="Times New Roman" w:hAnsi="Times New Roman"/>
          <w:sz w:val="20"/>
          <w:szCs w:val="20"/>
        </w:rPr>
        <w:footnoteReference w:id="23"/>
      </w:r>
      <w:r w:rsidRPr="003A1A75">
        <w:rPr>
          <w:rFonts w:ascii="Times New Roman" w:hAnsi="Times New Roman"/>
          <w:sz w:val="20"/>
          <w:szCs w:val="20"/>
        </w:rPr>
        <w:t xml:space="preserve"> Berikut akan dijelaskan lebih rinci terkait manfaat mempelajari filsafat dan logika keilmuan dalam Bimbingan Konseling Islam yakni: </w:t>
      </w:r>
    </w:p>
    <w:p w14:paraId="5BE85FA9" w14:textId="77777777" w:rsidR="003A1A75" w:rsidRPr="003A1A75" w:rsidRDefault="003A1A75" w:rsidP="00AF7341">
      <w:pPr>
        <w:pStyle w:val="ListParagraph"/>
        <w:numPr>
          <w:ilvl w:val="0"/>
          <w:numId w:val="9"/>
        </w:numPr>
        <w:spacing w:line="240" w:lineRule="auto"/>
        <w:ind w:left="284" w:hanging="284"/>
        <w:rPr>
          <w:rFonts w:ascii="Times New Roman" w:hAnsi="Times New Roman"/>
          <w:sz w:val="20"/>
          <w:szCs w:val="20"/>
        </w:rPr>
      </w:pPr>
      <w:r w:rsidRPr="003A1A75">
        <w:rPr>
          <w:rFonts w:ascii="Times New Roman" w:hAnsi="Times New Roman"/>
          <w:sz w:val="20"/>
          <w:szCs w:val="20"/>
        </w:rPr>
        <w:t>Hakikat manusia</w:t>
      </w:r>
    </w:p>
    <w:p w14:paraId="4CAF6426" w14:textId="49D8B141" w:rsidR="003A1A75" w:rsidRPr="003A1A75" w:rsidRDefault="003A1A75" w:rsidP="00AF7341">
      <w:pPr>
        <w:pStyle w:val="ListParagraph"/>
        <w:spacing w:line="240" w:lineRule="auto"/>
        <w:ind w:left="284" w:firstLine="709"/>
        <w:jc w:val="both"/>
        <w:rPr>
          <w:rFonts w:ascii="Times New Roman" w:hAnsi="Times New Roman"/>
          <w:sz w:val="20"/>
          <w:szCs w:val="20"/>
        </w:rPr>
      </w:pPr>
      <w:proofErr w:type="gramStart"/>
      <w:r w:rsidRPr="003A1A75">
        <w:rPr>
          <w:rFonts w:ascii="Times New Roman" w:hAnsi="Times New Roman"/>
          <w:sz w:val="20"/>
          <w:szCs w:val="20"/>
        </w:rPr>
        <w:t>Manusia adalah individu yang unik, artinya bahwa individu satu dengan individu lainnya memiliki perbedaan dan karakteristik yang berbeda-beda, bahkan manusia yang terlahir kembar identikpun memiliki perbedaan baik karakter, ideologi, pemhaman dan lain-lain.</w:t>
      </w:r>
      <w:proofErr w:type="gramEnd"/>
      <w:r w:rsidRPr="003A1A75">
        <w:rPr>
          <w:rFonts w:ascii="Times New Roman" w:hAnsi="Times New Roman"/>
          <w:sz w:val="20"/>
          <w:szCs w:val="20"/>
        </w:rPr>
        <w:t xml:space="preserve"> </w:t>
      </w:r>
      <w:proofErr w:type="gramStart"/>
      <w:r w:rsidRPr="003A1A75">
        <w:rPr>
          <w:rFonts w:ascii="Times New Roman" w:hAnsi="Times New Roman"/>
          <w:sz w:val="20"/>
          <w:szCs w:val="20"/>
        </w:rPr>
        <w:t xml:space="preserve">Langeveld </w:t>
      </w:r>
      <w:r w:rsidR="00AF7341">
        <w:rPr>
          <w:rFonts w:ascii="Times New Roman" w:hAnsi="Times New Roman"/>
          <w:sz w:val="20"/>
          <w:szCs w:val="20"/>
        </w:rPr>
        <w:t xml:space="preserve">dalam </w:t>
      </w:r>
      <w:r w:rsidR="00AF7341" w:rsidRPr="00AF7341">
        <w:rPr>
          <w:rFonts w:ascii="Times New Roman" w:hAnsi="Times New Roman"/>
          <w:sz w:val="20"/>
          <w:szCs w:val="20"/>
        </w:rPr>
        <w:t xml:space="preserve">Mustayah, Budiono, and Eka Wulandari, </w:t>
      </w:r>
      <w:r w:rsidR="00AF7341">
        <w:rPr>
          <w:rFonts w:ascii="Times New Roman" w:hAnsi="Times New Roman"/>
          <w:sz w:val="20"/>
          <w:szCs w:val="20"/>
        </w:rPr>
        <w:t xml:space="preserve">memandang </w:t>
      </w:r>
      <w:r w:rsidRPr="003A1A75">
        <w:rPr>
          <w:rFonts w:ascii="Times New Roman" w:hAnsi="Times New Roman"/>
          <w:sz w:val="20"/>
          <w:szCs w:val="20"/>
        </w:rPr>
        <w:t>manusia sebagai manusia yang harus dididik dan dapat dididik.</w:t>
      </w:r>
      <w:proofErr w:type="gramEnd"/>
      <w:r w:rsidR="00AF7341">
        <w:rPr>
          <w:rFonts w:ascii="Times New Roman" w:hAnsi="Times New Roman"/>
          <w:sz w:val="20"/>
          <w:szCs w:val="20"/>
        </w:rPr>
        <w:t xml:space="preserve"> </w:t>
      </w:r>
      <w:proofErr w:type="gramStart"/>
      <w:r w:rsidRPr="003A1A75">
        <w:rPr>
          <w:rFonts w:ascii="Times New Roman" w:hAnsi="Times New Roman"/>
          <w:sz w:val="20"/>
          <w:szCs w:val="20"/>
        </w:rPr>
        <w:t>Manusia merupakan makhluk rasional yang mampu berfikir dan menggunakan ilmunya, untuk meningkatkan perkembangan pribadinya.</w:t>
      </w:r>
      <w:proofErr w:type="gramEnd"/>
      <w:r w:rsidRPr="003A1A75">
        <w:rPr>
          <w:rFonts w:ascii="Times New Roman" w:hAnsi="Times New Roman"/>
          <w:sz w:val="20"/>
          <w:szCs w:val="20"/>
        </w:rPr>
        <w:t xml:space="preserve"> Manusia dilahirkan dengan potensi baik atau buruk, manusia hidup untuk mewujudkan kebaikan dan setidaknya mampu untuk menghindari keburukan. Manusia memiliki dimensi fisik, psikis dan spiritual yang harus dikaji secara mendalam untuk memahami individu. </w:t>
      </w:r>
      <w:proofErr w:type="gramStart"/>
      <w:r w:rsidRPr="003A1A75">
        <w:rPr>
          <w:rFonts w:ascii="Times New Roman" w:hAnsi="Times New Roman"/>
          <w:sz w:val="20"/>
          <w:szCs w:val="20"/>
        </w:rPr>
        <w:t>Dengan Memahami hakikat manusia, diharapkan setiap upaya bimbingan dan konseling tidak menyimpang dari hakikat manusia.</w:t>
      </w:r>
      <w:proofErr w:type="gramEnd"/>
      <w:r w:rsidRPr="003A1A75">
        <w:rPr>
          <w:rStyle w:val="FootnoteReference"/>
          <w:rFonts w:ascii="Times New Roman" w:hAnsi="Times New Roman"/>
          <w:sz w:val="20"/>
          <w:szCs w:val="20"/>
        </w:rPr>
        <w:footnoteReference w:id="24"/>
      </w:r>
      <w:r w:rsidR="00AF7341">
        <w:rPr>
          <w:rFonts w:ascii="Times New Roman" w:hAnsi="Times New Roman"/>
          <w:sz w:val="20"/>
          <w:szCs w:val="20"/>
        </w:rPr>
        <w:t xml:space="preserve"> </w:t>
      </w:r>
      <w:proofErr w:type="gramStart"/>
      <w:r w:rsidRPr="003A1A75">
        <w:rPr>
          <w:rFonts w:ascii="Times New Roman" w:hAnsi="Times New Roman"/>
          <w:sz w:val="20"/>
          <w:szCs w:val="20"/>
        </w:rPr>
        <w:t xml:space="preserve">Bimbingan Konseling Islam sebagai wadah untuk membantu individu </w:t>
      </w:r>
      <w:r w:rsidRPr="003A1A75">
        <w:rPr>
          <w:rFonts w:ascii="Times New Roman" w:hAnsi="Times New Roman"/>
          <w:sz w:val="20"/>
          <w:szCs w:val="20"/>
        </w:rPr>
        <w:lastRenderedPageBreak/>
        <w:t>menyelesaikan permasalahannya berlandaskan pada Al-Qur’an dan Hadis.</w:t>
      </w:r>
      <w:proofErr w:type="gramEnd"/>
      <w:r w:rsidRPr="003A1A75">
        <w:rPr>
          <w:rFonts w:ascii="Times New Roman" w:hAnsi="Times New Roman"/>
          <w:sz w:val="20"/>
          <w:szCs w:val="20"/>
        </w:rPr>
        <w:t xml:space="preserve"> Hakikat Bimbingan Konseling Islam yang mengacu pada tujuan serta tugas kehidupan diharapkan dapat membuat konselor dapat melakukan bimbingan dan konseling yang efektif dengan terlebih dahulu memahami konselinya dengan memahami tentang hakikat </w:t>
      </w:r>
      <w:proofErr w:type="gramStart"/>
      <w:r w:rsidRPr="003A1A75">
        <w:rPr>
          <w:rFonts w:ascii="Times New Roman" w:hAnsi="Times New Roman"/>
          <w:sz w:val="20"/>
          <w:szCs w:val="20"/>
        </w:rPr>
        <w:t>manusia .</w:t>
      </w:r>
      <w:proofErr w:type="gramEnd"/>
    </w:p>
    <w:p w14:paraId="7FA1D8F9" w14:textId="77777777" w:rsidR="003A1A75" w:rsidRPr="003A1A75" w:rsidRDefault="003A1A75" w:rsidP="00AF7341">
      <w:pPr>
        <w:pStyle w:val="ListParagraph"/>
        <w:numPr>
          <w:ilvl w:val="0"/>
          <w:numId w:val="9"/>
        </w:numPr>
        <w:spacing w:line="240" w:lineRule="auto"/>
        <w:ind w:left="284" w:hanging="284"/>
        <w:rPr>
          <w:rFonts w:ascii="Times New Roman" w:hAnsi="Times New Roman"/>
          <w:sz w:val="20"/>
          <w:szCs w:val="20"/>
        </w:rPr>
      </w:pPr>
      <w:r w:rsidRPr="003A1A75">
        <w:rPr>
          <w:rFonts w:ascii="Times New Roman" w:hAnsi="Times New Roman"/>
          <w:sz w:val="20"/>
          <w:szCs w:val="20"/>
        </w:rPr>
        <w:t>Filsafat ilmu sebagai dasar Bimbingan Konseling Islam</w:t>
      </w:r>
    </w:p>
    <w:p w14:paraId="7F0DBA1F" w14:textId="77777777" w:rsidR="003A1A75" w:rsidRPr="003A1A75" w:rsidRDefault="003A1A75" w:rsidP="00AF7341">
      <w:pPr>
        <w:pStyle w:val="ListParagraph"/>
        <w:numPr>
          <w:ilvl w:val="0"/>
          <w:numId w:val="8"/>
        </w:numPr>
        <w:tabs>
          <w:tab w:val="left" w:pos="1080"/>
        </w:tabs>
        <w:spacing w:line="240" w:lineRule="auto"/>
        <w:ind w:left="567" w:hanging="283"/>
        <w:jc w:val="both"/>
        <w:rPr>
          <w:rFonts w:ascii="Times New Roman" w:hAnsi="Times New Roman"/>
          <w:sz w:val="20"/>
          <w:szCs w:val="20"/>
        </w:rPr>
      </w:pPr>
      <w:r w:rsidRPr="003A1A75">
        <w:rPr>
          <w:rFonts w:ascii="Times New Roman" w:hAnsi="Times New Roman"/>
          <w:sz w:val="20"/>
          <w:szCs w:val="20"/>
        </w:rPr>
        <w:t>Ontology</w:t>
      </w:r>
    </w:p>
    <w:p w14:paraId="4CAA263B" w14:textId="77777777" w:rsidR="003A1A75" w:rsidRPr="003A1A75" w:rsidRDefault="003A1A75" w:rsidP="00AF7341">
      <w:pPr>
        <w:pStyle w:val="ListParagraph"/>
        <w:spacing w:line="240" w:lineRule="auto"/>
        <w:ind w:left="567" w:firstLine="709"/>
        <w:jc w:val="both"/>
        <w:rPr>
          <w:rFonts w:ascii="Times New Roman" w:hAnsi="Times New Roman"/>
          <w:sz w:val="20"/>
          <w:szCs w:val="20"/>
        </w:rPr>
      </w:pPr>
      <w:r w:rsidRPr="003A1A75">
        <w:rPr>
          <w:rFonts w:ascii="Times New Roman" w:hAnsi="Times New Roman"/>
          <w:sz w:val="20"/>
          <w:szCs w:val="20"/>
        </w:rPr>
        <w:tab/>
        <w:t>Ontologi adalah bagian filsafat yang paling umum, atau merupakan bagian dari metafisika, yang juga merupakan salah satu sub-bidang filsafat.</w:t>
      </w:r>
      <w:r w:rsidRPr="003A1A75">
        <w:rPr>
          <w:rStyle w:val="FootnoteReference"/>
          <w:rFonts w:ascii="Times New Roman" w:hAnsi="Times New Roman"/>
          <w:sz w:val="20"/>
          <w:szCs w:val="20"/>
        </w:rPr>
        <w:footnoteReference w:id="25"/>
      </w:r>
      <w:r w:rsidRPr="003A1A75">
        <w:rPr>
          <w:rFonts w:ascii="Times New Roman" w:hAnsi="Times New Roman"/>
          <w:sz w:val="20"/>
          <w:szCs w:val="20"/>
        </w:rPr>
        <w:t xml:space="preserve"> Dalam ranah pemikiran filosofis, ontologi menempati posisi yang sangat krusial sebagai salah satu pilar utama metafisika dan landasan pemikiran filsafat. Kajian ontologis berusaha menyelami pemahaman tentang realitas eksistensi yang melampaui batasan-batasan fenomena spesifik, dengan tujuan mengungkap prinsip-prinsip universal yang mendasari segala bentuk keberadaan. Keistimewaan disiplin ini terletak pada pendekatan holistiknya dalam mengkaji berbagai lapisan realitas, mulai dari yang konkret hingga yang abstrak. Perkembangan wacana ontologis tidak dapat dipisahkan dari kontemplasi mendalam tentang berbagai dimensi kehidupan, termasuk studi antropologis, kosmologis, epistemologis, ekologis, serta aspek moral dan sosial kemasyarakatan. Tingkat kerumitan ontologi semakin nyata ketika kita memahami bahwa bidang ini memiliki jalinan yang erat dengan berbagai cabang filsafat lainnya, menciptakan suatu jaringan pemahaman yang saling terkait. Karakteristik multidimensional ini menjadikan ontologi sebagai salah satu bidang kajian filosofis yang membutuhkan tingkat abstraksi dan pemahaman yang sangat tinggi.</w:t>
      </w:r>
    </w:p>
    <w:p w14:paraId="36897FB9" w14:textId="77777777" w:rsidR="003A1A75" w:rsidRPr="003A1A75" w:rsidRDefault="003A1A75" w:rsidP="00AF7341">
      <w:pPr>
        <w:pStyle w:val="ListParagraph"/>
        <w:spacing w:line="240" w:lineRule="auto"/>
        <w:ind w:left="567" w:firstLine="709"/>
        <w:jc w:val="both"/>
        <w:rPr>
          <w:rFonts w:ascii="Times New Roman" w:hAnsi="Times New Roman"/>
          <w:sz w:val="20"/>
          <w:szCs w:val="20"/>
        </w:rPr>
      </w:pPr>
      <w:r w:rsidRPr="003A1A75">
        <w:rPr>
          <w:rFonts w:ascii="Times New Roman" w:hAnsi="Times New Roman"/>
          <w:sz w:val="20"/>
          <w:szCs w:val="20"/>
        </w:rPr>
        <w:tab/>
        <w:t>Ontology dalam Bimbingan Konseling Islam diartikan sebagai proses pemahaman konselor terkait dengan Bimbingan Konseling Islam. Konselor harus memahami fungsi, tujuan, manfaat dan teknik dalam Bimbingan Konseling Islam sebelum melakukan layanan konseling. Pemahaman yang mendalam tentang Bimbingan Konseling Islam dapat membantu konselor untuk lebih mudah dalam mengaplikasikan layanan Bimbingan Konseling Islam kepada konseli.</w:t>
      </w:r>
    </w:p>
    <w:p w14:paraId="53F5B153" w14:textId="77777777" w:rsidR="003A1A75" w:rsidRPr="003A1A75" w:rsidRDefault="003A1A75" w:rsidP="00AF7341">
      <w:pPr>
        <w:pStyle w:val="ListParagraph"/>
        <w:numPr>
          <w:ilvl w:val="0"/>
          <w:numId w:val="8"/>
        </w:numPr>
        <w:tabs>
          <w:tab w:val="left" w:pos="1080"/>
        </w:tabs>
        <w:spacing w:line="240" w:lineRule="auto"/>
        <w:ind w:left="567" w:hanging="283"/>
        <w:jc w:val="both"/>
        <w:rPr>
          <w:rFonts w:ascii="Times New Roman" w:hAnsi="Times New Roman"/>
          <w:sz w:val="20"/>
          <w:szCs w:val="20"/>
        </w:rPr>
      </w:pPr>
      <w:r w:rsidRPr="003A1A75">
        <w:rPr>
          <w:rFonts w:ascii="Times New Roman" w:hAnsi="Times New Roman"/>
          <w:sz w:val="20"/>
          <w:szCs w:val="20"/>
        </w:rPr>
        <w:t>Epistimologi</w:t>
      </w:r>
    </w:p>
    <w:p w14:paraId="6DA93D5E" w14:textId="77777777" w:rsidR="00AF7341" w:rsidRDefault="003A1A75" w:rsidP="00AF7341">
      <w:pPr>
        <w:pStyle w:val="ListParagraph"/>
        <w:tabs>
          <w:tab w:val="left" w:pos="1080"/>
        </w:tabs>
        <w:spacing w:line="240" w:lineRule="auto"/>
        <w:ind w:left="567" w:firstLine="709"/>
        <w:jc w:val="both"/>
        <w:rPr>
          <w:rFonts w:ascii="Times New Roman" w:hAnsi="Times New Roman"/>
          <w:sz w:val="20"/>
          <w:szCs w:val="20"/>
        </w:rPr>
      </w:pPr>
      <w:r w:rsidRPr="003A1A75">
        <w:rPr>
          <w:rFonts w:ascii="Times New Roman" w:hAnsi="Times New Roman"/>
          <w:sz w:val="20"/>
          <w:szCs w:val="20"/>
        </w:rPr>
        <w:tab/>
        <w:t xml:space="preserve">Setelah konselor memahami ilmu tentang Bimbingan Konseling Islam, selanjutnya konselor berupaya untuk menerapkan Bimbingan Konseling Islam yang telah difahami dengan baik dan benar. Contohnya dalam proses konseling, sebelum ke ranah pemberian bantuan, terlebih dahulu konselor harus memahami latar belakang konseli atau motif dibalik perilaku penyimpangan yang dilakukan oleh konseli. </w:t>
      </w:r>
      <w:proofErr w:type="gramStart"/>
      <w:r w:rsidRPr="003A1A75">
        <w:rPr>
          <w:rFonts w:ascii="Times New Roman" w:hAnsi="Times New Roman"/>
          <w:sz w:val="20"/>
          <w:szCs w:val="20"/>
        </w:rPr>
        <w:t>Penggalian informasi terkait motif konseli dapat membantu konselor untuk memberikan layanan yang sesuai dengan kebutuhan.</w:t>
      </w:r>
      <w:proofErr w:type="gramEnd"/>
      <w:r w:rsidR="00AF7341">
        <w:rPr>
          <w:rFonts w:ascii="Times New Roman" w:hAnsi="Times New Roman"/>
          <w:sz w:val="20"/>
          <w:szCs w:val="20"/>
        </w:rPr>
        <w:t xml:space="preserve"> </w:t>
      </w:r>
    </w:p>
    <w:p w14:paraId="3C4F6D10" w14:textId="10A42547" w:rsidR="003A1A75" w:rsidRPr="003A1A75" w:rsidRDefault="003A1A75" w:rsidP="00AF7341">
      <w:pPr>
        <w:pStyle w:val="ListParagraph"/>
        <w:tabs>
          <w:tab w:val="left" w:pos="1080"/>
        </w:tabs>
        <w:spacing w:line="240" w:lineRule="auto"/>
        <w:ind w:left="567" w:firstLine="709"/>
        <w:jc w:val="both"/>
        <w:rPr>
          <w:rFonts w:ascii="Times New Roman" w:hAnsi="Times New Roman"/>
          <w:sz w:val="20"/>
          <w:szCs w:val="20"/>
        </w:rPr>
      </w:pPr>
      <w:proofErr w:type="gramStart"/>
      <w:r w:rsidRPr="003A1A75">
        <w:rPr>
          <w:rFonts w:ascii="Times New Roman" w:hAnsi="Times New Roman"/>
          <w:sz w:val="20"/>
          <w:szCs w:val="20"/>
        </w:rPr>
        <w:lastRenderedPageBreak/>
        <w:t>Temuan-temuan dalam ranah ontologis mengalir secara natural menuju domain epistemologi untuk menjalani serangkaian validasi ilmiah.</w:t>
      </w:r>
      <w:proofErr w:type="gramEnd"/>
      <w:r w:rsidRPr="003A1A75">
        <w:rPr>
          <w:rFonts w:ascii="Times New Roman" w:hAnsi="Times New Roman"/>
          <w:sz w:val="20"/>
          <w:szCs w:val="20"/>
        </w:rPr>
        <w:t xml:space="preserve"> Proses penemuan ilmiah ini berawal dari interaksi manusia dengan fenomena melalui observasi sistematis. Keterlibatan langsung manusia dengan realitas empiris ini membangkitkan kemampuan kognitif untuk menganalisis berbagai fenomena alam secara kritis. Setiap cabang pengetahuan memiliki karakteristik distingtif yang mencakup aspek substantif (apa), metodologis (bagaimana), dan teleologis (untuk apa), yang terintegrasi secara sistematis dalam tiga pilar utama: ontologi, epistemologi, dan aksiologi. Dalam konstruksi ilmu pengetahuan, epistemologi tidak dapat dipisahkan dari fondasi ontologis dan orientasi aksiologis. Tantangan fundamental dalam epistemologi adalah merumuskan metodologi yang dapat menghasilkan pengetahuan valid dengan mempertimbangkan aspek ontologis dan implikasi aksiologis dari masing-masing disiplin ilmu. Sebagai cabang filsafat, epistemologi berperan vital dalam mengkaji seluruh aspek yang berkaitan dengan proses pemerolehan pengetahuan, meliputi metodologi, mekanisme, dan prosedur sistematis dalam konstruksi pengetahuan yang sahih.</w:t>
      </w:r>
      <w:r w:rsidRPr="003A1A75">
        <w:rPr>
          <w:rStyle w:val="FootnoteReference"/>
          <w:rFonts w:ascii="Times New Roman" w:hAnsi="Times New Roman"/>
          <w:sz w:val="20"/>
          <w:szCs w:val="20"/>
        </w:rPr>
        <w:footnoteReference w:id="26"/>
      </w:r>
    </w:p>
    <w:p w14:paraId="4E17C23F" w14:textId="77777777" w:rsidR="003A1A75" w:rsidRPr="003A1A75" w:rsidRDefault="003A1A75" w:rsidP="00AF7341">
      <w:pPr>
        <w:pStyle w:val="ListParagraph"/>
        <w:numPr>
          <w:ilvl w:val="0"/>
          <w:numId w:val="8"/>
        </w:numPr>
        <w:tabs>
          <w:tab w:val="left" w:pos="1080"/>
        </w:tabs>
        <w:spacing w:line="240" w:lineRule="auto"/>
        <w:ind w:left="567" w:hanging="283"/>
        <w:jc w:val="both"/>
        <w:rPr>
          <w:rFonts w:ascii="Times New Roman" w:hAnsi="Times New Roman"/>
          <w:sz w:val="20"/>
          <w:szCs w:val="20"/>
        </w:rPr>
      </w:pPr>
      <w:r w:rsidRPr="003A1A75">
        <w:rPr>
          <w:rFonts w:ascii="Times New Roman" w:hAnsi="Times New Roman"/>
          <w:sz w:val="20"/>
          <w:szCs w:val="20"/>
        </w:rPr>
        <w:t>Aksiologi</w:t>
      </w:r>
    </w:p>
    <w:p w14:paraId="0083D703" w14:textId="77777777" w:rsidR="003A1A75" w:rsidRPr="003A1A75" w:rsidRDefault="003A1A75" w:rsidP="00AF7341">
      <w:pPr>
        <w:pStyle w:val="ListParagraph"/>
        <w:spacing w:line="240" w:lineRule="auto"/>
        <w:ind w:left="567" w:right="95" w:firstLine="709"/>
        <w:jc w:val="both"/>
        <w:rPr>
          <w:rFonts w:ascii="Times New Roman" w:hAnsi="Times New Roman"/>
          <w:sz w:val="20"/>
          <w:szCs w:val="20"/>
        </w:rPr>
      </w:pPr>
      <w:r w:rsidRPr="003A1A75">
        <w:rPr>
          <w:rFonts w:ascii="Times New Roman" w:hAnsi="Times New Roman"/>
          <w:sz w:val="20"/>
          <w:szCs w:val="20"/>
        </w:rPr>
        <w:t>Aksiologi dalam Bimbingan Konseling Islam mengaharuskan konsleor memiliki nilai etika dan estetika. Contohnya dalam memberikan layanan Bimbingan Konseling Islam, konselor harus memegang asas-asas dalam pelaksanaan layanan Bimbingan Konseling Islam seperti asas kerahasiaan untuk menumbuhkan rasa percaya konseli terhadap konselor sehingga memudahkan konseli untuk terbuka dengan konselor terkait permasalahannya.</w:t>
      </w:r>
      <w:r w:rsidRPr="003A1A75">
        <w:rPr>
          <w:rStyle w:val="FootnoteReference"/>
          <w:rFonts w:ascii="Times New Roman" w:hAnsi="Times New Roman"/>
          <w:sz w:val="20"/>
          <w:szCs w:val="20"/>
        </w:rPr>
        <w:footnoteReference w:id="27"/>
      </w:r>
    </w:p>
    <w:p w14:paraId="7178BC77" w14:textId="38937705" w:rsidR="00164899" w:rsidRDefault="00ED136B">
      <w:pPr>
        <w:numPr>
          <w:ilvl w:val="0"/>
          <w:numId w:val="1"/>
        </w:numPr>
        <w:pBdr>
          <w:top w:val="nil"/>
          <w:left w:val="nil"/>
          <w:bottom w:val="nil"/>
          <w:right w:val="nil"/>
          <w:between w:val="nil"/>
        </w:pBdr>
        <w:spacing w:before="240" w:after="60" w:line="280" w:lineRule="auto"/>
        <w:ind w:left="426" w:hanging="426"/>
        <w:rPr>
          <w:rFonts w:ascii="Times New Roman" w:hAnsi="Times New Roman"/>
          <w:color w:val="000000"/>
          <w:sz w:val="20"/>
          <w:szCs w:val="20"/>
        </w:rPr>
      </w:pPr>
      <w:r>
        <w:rPr>
          <w:rFonts w:ascii="Times New Roman" w:hAnsi="Times New Roman"/>
          <w:b/>
          <w:color w:val="000000"/>
          <w:sz w:val="20"/>
          <w:szCs w:val="20"/>
        </w:rPr>
        <w:t>Kesimpulan</w:t>
      </w:r>
    </w:p>
    <w:p w14:paraId="43758658" w14:textId="34B9531C" w:rsidR="003A1A75" w:rsidRPr="00ED136B" w:rsidRDefault="003A1A75" w:rsidP="000724C0">
      <w:pPr>
        <w:pStyle w:val="ListParagraph"/>
        <w:spacing w:line="240" w:lineRule="auto"/>
        <w:ind w:left="0" w:firstLine="709"/>
        <w:jc w:val="both"/>
        <w:rPr>
          <w:rFonts w:ascii="Times New Roman" w:hAnsi="Times New Roman"/>
          <w:sz w:val="20"/>
          <w:szCs w:val="20"/>
        </w:rPr>
      </w:pPr>
      <w:r w:rsidRPr="003A1A75">
        <w:rPr>
          <w:rFonts w:ascii="Times New Roman" w:hAnsi="Times New Roman"/>
          <w:sz w:val="20"/>
          <w:szCs w:val="20"/>
        </w:rPr>
        <w:t xml:space="preserve">Kesimpulan dari penjabaran di atas, dapat disimpulkan bahwa terdapat integrasi-interkoneksi antara filsafat dan logika keilmuan dengan Bimbingan Konseling Islam. Keterlibatan filsafat dan logika keilmuan dalam bidang Bimbingan Konseling Islam memberikan kemajuan dan pengembangan dalam Bimbingan Konseling Islam. </w:t>
      </w:r>
      <w:proofErr w:type="gramStart"/>
      <w:r w:rsidRPr="003A1A75">
        <w:rPr>
          <w:rFonts w:ascii="Times New Roman" w:hAnsi="Times New Roman"/>
          <w:sz w:val="20"/>
          <w:szCs w:val="20"/>
        </w:rPr>
        <w:t>keterkaitan</w:t>
      </w:r>
      <w:proofErr w:type="gramEnd"/>
      <w:r w:rsidRPr="003A1A75">
        <w:rPr>
          <w:rFonts w:ascii="Times New Roman" w:hAnsi="Times New Roman"/>
          <w:sz w:val="20"/>
          <w:szCs w:val="20"/>
        </w:rPr>
        <w:t xml:space="preserve"> filsafat dan logika keilmuan sebagai dasar Bimbingan Konseling Islam memberikan gambaran kepada kita bagaimana pentingnya mempelajari filsafat sebagai dasar kita dalam melakukan bimbingan dan konseling yang berbasis islam kepada konseli.</w:t>
      </w:r>
      <w:r w:rsidR="000724C0">
        <w:rPr>
          <w:rFonts w:ascii="Times New Roman" w:hAnsi="Times New Roman"/>
          <w:sz w:val="20"/>
          <w:szCs w:val="20"/>
        </w:rPr>
        <w:t xml:space="preserve"> </w:t>
      </w:r>
      <w:proofErr w:type="gramStart"/>
      <w:r w:rsidRPr="003A1A75">
        <w:rPr>
          <w:rFonts w:ascii="Times New Roman" w:hAnsi="Times New Roman"/>
          <w:sz w:val="20"/>
          <w:szCs w:val="20"/>
        </w:rPr>
        <w:t>Keterkaitan filsafat dan logika keilmuan dapat terlihat pada bagaimana filsafat sebagai dasar dalam memahami hakikat manusia sehingga konselor dapat memanfaatkannya untuk memahami karakter konselinya.</w:t>
      </w:r>
      <w:proofErr w:type="gramEnd"/>
      <w:r w:rsidRPr="003A1A75">
        <w:rPr>
          <w:rFonts w:ascii="Times New Roman" w:hAnsi="Times New Roman"/>
          <w:sz w:val="20"/>
          <w:szCs w:val="20"/>
        </w:rPr>
        <w:t xml:space="preserve"> Filsafat ilmu dapat dimanfaatkan konselor dalam memahami permasalahan konseli dan menerapkan teknik-teknik </w:t>
      </w:r>
      <w:r w:rsidRPr="003A1A75">
        <w:rPr>
          <w:rFonts w:ascii="Times New Roman" w:hAnsi="Times New Roman"/>
          <w:sz w:val="20"/>
          <w:szCs w:val="20"/>
        </w:rPr>
        <w:lastRenderedPageBreak/>
        <w:t>konseling yang tepat dalam mengentaskan permasalahan yang dialalami oleh konseli.</w:t>
      </w:r>
    </w:p>
    <w:p w14:paraId="11307929" w14:textId="77777777" w:rsidR="00ED136B" w:rsidRDefault="00ED136B">
      <w:pPr>
        <w:pBdr>
          <w:top w:val="nil"/>
          <w:left w:val="nil"/>
          <w:bottom w:val="nil"/>
          <w:right w:val="nil"/>
          <w:between w:val="nil"/>
        </w:pBdr>
        <w:spacing w:after="60" w:line="280" w:lineRule="auto"/>
        <w:rPr>
          <w:rFonts w:ascii="Times New Roman" w:hAnsi="Times New Roman"/>
          <w:b/>
          <w:color w:val="000000"/>
          <w:sz w:val="20"/>
          <w:szCs w:val="20"/>
        </w:rPr>
      </w:pPr>
    </w:p>
    <w:p w14:paraId="05392BA9" w14:textId="5308BC66" w:rsidR="00164899" w:rsidRDefault="00946304">
      <w:pPr>
        <w:pBdr>
          <w:top w:val="nil"/>
          <w:left w:val="nil"/>
          <w:bottom w:val="nil"/>
          <w:right w:val="nil"/>
          <w:between w:val="nil"/>
        </w:pBdr>
        <w:spacing w:after="60" w:line="280" w:lineRule="auto"/>
        <w:rPr>
          <w:rFonts w:ascii="Times New Roman" w:hAnsi="Times New Roman"/>
          <w:b/>
          <w:color w:val="000000"/>
          <w:sz w:val="20"/>
          <w:szCs w:val="20"/>
        </w:rPr>
      </w:pPr>
      <w:r>
        <w:rPr>
          <w:rFonts w:ascii="Times New Roman" w:hAnsi="Times New Roman"/>
          <w:b/>
          <w:color w:val="000000"/>
          <w:sz w:val="20"/>
          <w:szCs w:val="20"/>
        </w:rPr>
        <w:t>References</w:t>
      </w:r>
    </w:p>
    <w:p w14:paraId="5781C4CE"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Abdullah, Amin, </w:t>
      </w:r>
      <w:r w:rsidRPr="00875F66">
        <w:rPr>
          <w:rFonts w:ascii="Times New Roman" w:hAnsi="Times New Roman"/>
          <w:i/>
          <w:iCs/>
          <w:sz w:val="20"/>
          <w:szCs w:val="20"/>
        </w:rPr>
        <w:t>Implementasi Pendekatan Integratif-Interkonektiv dalam Kajian Pendikan Islam</w:t>
      </w:r>
      <w:r w:rsidRPr="00875F66">
        <w:rPr>
          <w:rFonts w:ascii="Times New Roman" w:hAnsi="Times New Roman"/>
          <w:sz w:val="20"/>
          <w:szCs w:val="20"/>
        </w:rPr>
        <w:t>, ed. by H. Maragustam (Yogyakarta: Pascasarjana UIN Sunan Kalijaga, 2014)</w:t>
      </w:r>
    </w:p>
    <w:p w14:paraId="28680075"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Al Fajar, Adam Hafidz, dkk., ‘The Role of Islamic Values in Sustainable Development Innovation to Support the SDGs in Rural Communities’, </w:t>
      </w:r>
      <w:r w:rsidRPr="00875F66">
        <w:rPr>
          <w:rFonts w:ascii="Times New Roman" w:hAnsi="Times New Roman"/>
          <w:i/>
          <w:iCs/>
          <w:sz w:val="20"/>
          <w:szCs w:val="20"/>
        </w:rPr>
        <w:t>Jurnal Paradigma</w:t>
      </w:r>
      <w:r w:rsidRPr="00875F66">
        <w:rPr>
          <w:rFonts w:ascii="Times New Roman" w:hAnsi="Times New Roman"/>
          <w:sz w:val="20"/>
          <w:szCs w:val="20"/>
        </w:rPr>
        <w:t>, 16.1 (2024), 40–61</w:t>
      </w:r>
    </w:p>
    <w:p w14:paraId="38E65861"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Anwar, M. Fuad, </w:t>
      </w:r>
      <w:r w:rsidRPr="00875F66">
        <w:rPr>
          <w:rFonts w:ascii="Times New Roman" w:hAnsi="Times New Roman"/>
          <w:i/>
          <w:iCs/>
          <w:sz w:val="20"/>
          <w:szCs w:val="20"/>
        </w:rPr>
        <w:t>Landasan Bimbingan dan Konseling Islam</w:t>
      </w:r>
      <w:r w:rsidRPr="00875F66">
        <w:rPr>
          <w:rFonts w:ascii="Times New Roman" w:hAnsi="Times New Roman"/>
          <w:sz w:val="20"/>
          <w:szCs w:val="20"/>
        </w:rPr>
        <w:t xml:space="preserve"> (Yogyakarta: Deepublish, 2019)</w:t>
      </w:r>
    </w:p>
    <w:p w14:paraId="77D94CD6"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Awawina, Azka Silma, ‘Peta Konsep Keilmuwan Bimbingan dan Konseling Islam’, </w:t>
      </w:r>
      <w:r w:rsidRPr="00875F66">
        <w:rPr>
          <w:rFonts w:ascii="Times New Roman" w:hAnsi="Times New Roman"/>
          <w:i/>
          <w:iCs/>
          <w:sz w:val="20"/>
          <w:szCs w:val="20"/>
        </w:rPr>
        <w:t>Assertive: Islamic Counseling Journal</w:t>
      </w:r>
      <w:r w:rsidRPr="00875F66">
        <w:rPr>
          <w:rFonts w:ascii="Times New Roman" w:hAnsi="Times New Roman"/>
          <w:sz w:val="20"/>
          <w:szCs w:val="20"/>
        </w:rPr>
        <w:t>, 1.1 (2022), 46–60</w:t>
      </w:r>
    </w:p>
    <w:p w14:paraId="6665B882"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Basri, A Said Hasan, </w:t>
      </w:r>
      <w:proofErr w:type="gramStart"/>
      <w:r w:rsidRPr="00875F66">
        <w:rPr>
          <w:rFonts w:ascii="Times New Roman" w:hAnsi="Times New Roman"/>
          <w:sz w:val="20"/>
          <w:szCs w:val="20"/>
        </w:rPr>
        <w:t>dkk.,</w:t>
      </w:r>
      <w:proofErr w:type="gramEnd"/>
      <w:r w:rsidRPr="00875F66">
        <w:rPr>
          <w:rFonts w:ascii="Times New Roman" w:hAnsi="Times New Roman"/>
          <w:sz w:val="20"/>
          <w:szCs w:val="20"/>
        </w:rPr>
        <w:t xml:space="preserve"> ‘Pengembangan Model Keilmuan Bimbingan dan Konseling Islam Melalui Jurnal Hisbah: Jurnal Bimbingan Konseling dan Dakwah Islam’, </w:t>
      </w:r>
      <w:r w:rsidRPr="00875F66">
        <w:rPr>
          <w:rFonts w:ascii="Times New Roman" w:hAnsi="Times New Roman"/>
          <w:i/>
          <w:iCs/>
          <w:sz w:val="20"/>
          <w:szCs w:val="20"/>
        </w:rPr>
        <w:t>Pengembangan Model Keilmuan Bimbingan dan Konseling Islam Melalui Jurnal Hisbah</w:t>
      </w:r>
      <w:r w:rsidRPr="00875F66">
        <w:rPr>
          <w:rFonts w:ascii="Times New Roman" w:hAnsi="Times New Roman"/>
          <w:sz w:val="20"/>
          <w:szCs w:val="20"/>
        </w:rPr>
        <w:t>, 2.2 (2019), 136–58</w:t>
      </w:r>
    </w:p>
    <w:p w14:paraId="67643C59"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Budi, Hengki Irawan Setia, </w:t>
      </w:r>
      <w:r w:rsidRPr="00875F66">
        <w:rPr>
          <w:rFonts w:ascii="Times New Roman" w:hAnsi="Times New Roman"/>
          <w:i/>
          <w:iCs/>
          <w:sz w:val="20"/>
          <w:szCs w:val="20"/>
        </w:rPr>
        <w:t>Pengantar Logika Teologi: Telaah Praktis Logika dalam Teologi</w:t>
      </w:r>
      <w:r w:rsidRPr="00875F66">
        <w:rPr>
          <w:rFonts w:ascii="Times New Roman" w:hAnsi="Times New Roman"/>
          <w:sz w:val="20"/>
          <w:szCs w:val="20"/>
        </w:rPr>
        <w:t xml:space="preserve"> (Yogyakarta: Garudhawaca, 2021)</w:t>
      </w:r>
    </w:p>
    <w:p w14:paraId="0B6C1C78"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Creswell, J. W., </w:t>
      </w:r>
      <w:r w:rsidRPr="00875F66">
        <w:rPr>
          <w:rFonts w:ascii="Times New Roman" w:hAnsi="Times New Roman"/>
          <w:i/>
          <w:iCs/>
          <w:sz w:val="20"/>
          <w:szCs w:val="20"/>
        </w:rPr>
        <w:t>Research Design: Pendekatan Kualitatif, Kuantitatif, dan Mixed</w:t>
      </w:r>
      <w:r w:rsidRPr="00875F66">
        <w:rPr>
          <w:rFonts w:ascii="Times New Roman" w:hAnsi="Times New Roman"/>
          <w:sz w:val="20"/>
          <w:szCs w:val="20"/>
        </w:rPr>
        <w:t>, edisi ketiga, alih bahasa Achmad Fawaid (Yogyakarta: Pustaka Belajar, 2015)</w:t>
      </w:r>
    </w:p>
    <w:p w14:paraId="4D8CDDEB"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Dewi, Yeni Satroma, dan Merri Yelliza, ‘Peran Bimbingan dan Konseling dalam Menerapkan Terapi Dzikir untuk Pemulihan Trauma Akibat Luka Batin’, </w:t>
      </w:r>
      <w:r w:rsidRPr="00875F66">
        <w:rPr>
          <w:rFonts w:ascii="Times New Roman" w:hAnsi="Times New Roman"/>
          <w:i/>
          <w:iCs/>
          <w:sz w:val="20"/>
          <w:szCs w:val="20"/>
        </w:rPr>
        <w:t>Indonesian Research Journal on Education</w:t>
      </w:r>
      <w:r w:rsidRPr="00875F66">
        <w:rPr>
          <w:rFonts w:ascii="Times New Roman" w:hAnsi="Times New Roman"/>
          <w:sz w:val="20"/>
          <w:szCs w:val="20"/>
        </w:rPr>
        <w:t>, 4.4 (2024), 1484–91</w:t>
      </w:r>
    </w:p>
    <w:p w14:paraId="302A4E4C"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Erdoğan, İbrahim Halil, dan Sema Eryücel, ‘The Concept of Divine Revelation According to Ibn Sînâ and Al-Ghazālī: A Comparative Analysis’, </w:t>
      </w:r>
      <w:r w:rsidRPr="00875F66">
        <w:rPr>
          <w:rFonts w:ascii="Times New Roman" w:hAnsi="Times New Roman"/>
          <w:i/>
          <w:iCs/>
          <w:sz w:val="20"/>
          <w:szCs w:val="20"/>
        </w:rPr>
        <w:t>Religions</w:t>
      </w:r>
      <w:r w:rsidRPr="00875F66">
        <w:rPr>
          <w:rFonts w:ascii="Times New Roman" w:hAnsi="Times New Roman"/>
          <w:sz w:val="20"/>
          <w:szCs w:val="20"/>
        </w:rPr>
        <w:t>, 15.11 (2024), 1383</w:t>
      </w:r>
    </w:p>
    <w:p w14:paraId="620A8FDA"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Fathih, Muhammad Amin, dan Nur Khozim Muhlis, ‘Problematika Penerapan Manajemen Pendidikan di Lembaga Pendidikan Islam’, </w:t>
      </w:r>
      <w:r w:rsidRPr="00875F66">
        <w:rPr>
          <w:rFonts w:ascii="Times New Roman" w:hAnsi="Times New Roman"/>
          <w:i/>
          <w:iCs/>
          <w:sz w:val="20"/>
          <w:szCs w:val="20"/>
        </w:rPr>
        <w:t>Dirasah: Jurnal Studi Ilmu dan Manajemen Pendidikan Islam</w:t>
      </w:r>
      <w:r w:rsidRPr="00875F66">
        <w:rPr>
          <w:rFonts w:ascii="Times New Roman" w:hAnsi="Times New Roman"/>
          <w:sz w:val="20"/>
          <w:szCs w:val="20"/>
        </w:rPr>
        <w:t>, 6.1 (2023), 20–29</w:t>
      </w:r>
    </w:p>
    <w:p w14:paraId="4A3D7AA8"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Guntoro, H. M., </w:t>
      </w:r>
      <w:r w:rsidRPr="00875F66">
        <w:rPr>
          <w:rFonts w:ascii="Times New Roman" w:hAnsi="Times New Roman"/>
          <w:i/>
          <w:iCs/>
          <w:sz w:val="20"/>
          <w:szCs w:val="20"/>
        </w:rPr>
        <w:t>Filsafat Ilmu bagi Program Magister/Pascasarjana</w:t>
      </w:r>
      <w:r w:rsidRPr="00875F66">
        <w:rPr>
          <w:rFonts w:ascii="Times New Roman" w:hAnsi="Times New Roman"/>
          <w:sz w:val="20"/>
          <w:szCs w:val="20"/>
        </w:rPr>
        <w:t xml:space="preserve"> (Jakarta: Penerbit K-Media, t.t.)</w:t>
      </w:r>
    </w:p>
    <w:p w14:paraId="33975E6B"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Komarudin, K., ‘Mengungkap Landasan Filosofis Keilmuan Bimbingan </w:t>
      </w:r>
      <w:r w:rsidRPr="00875F66">
        <w:rPr>
          <w:rFonts w:ascii="Times New Roman" w:hAnsi="Times New Roman"/>
          <w:sz w:val="20"/>
          <w:szCs w:val="20"/>
        </w:rPr>
        <w:lastRenderedPageBreak/>
        <w:t xml:space="preserve">Konseling Islam’, </w:t>
      </w:r>
      <w:r w:rsidRPr="00875F66">
        <w:rPr>
          <w:rFonts w:ascii="Times New Roman" w:hAnsi="Times New Roman"/>
          <w:i/>
          <w:iCs/>
          <w:sz w:val="20"/>
          <w:szCs w:val="20"/>
        </w:rPr>
        <w:t>International Journal Ihya’ Ulum al-Din</w:t>
      </w:r>
      <w:r w:rsidRPr="00875F66">
        <w:rPr>
          <w:rFonts w:ascii="Times New Roman" w:hAnsi="Times New Roman"/>
          <w:sz w:val="20"/>
          <w:szCs w:val="20"/>
        </w:rPr>
        <w:t>, 17.2 (2017), 209–32</w:t>
      </w:r>
    </w:p>
    <w:p w14:paraId="510DEB1D"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Maulida, Ratna Siti, </w:t>
      </w:r>
      <w:proofErr w:type="gramStart"/>
      <w:r w:rsidRPr="00875F66">
        <w:rPr>
          <w:rFonts w:ascii="Times New Roman" w:hAnsi="Times New Roman"/>
          <w:sz w:val="20"/>
          <w:szCs w:val="20"/>
        </w:rPr>
        <w:t>dkk.,</w:t>
      </w:r>
      <w:proofErr w:type="gramEnd"/>
      <w:r w:rsidRPr="00875F66">
        <w:rPr>
          <w:rFonts w:ascii="Times New Roman" w:hAnsi="Times New Roman"/>
          <w:sz w:val="20"/>
          <w:szCs w:val="20"/>
        </w:rPr>
        <w:t xml:space="preserve"> ‘Metode Penelitian Ilmiah Berbasis Filsafat Ilmu’, </w:t>
      </w:r>
      <w:r w:rsidRPr="00875F66">
        <w:rPr>
          <w:rFonts w:ascii="Times New Roman" w:hAnsi="Times New Roman"/>
          <w:i/>
          <w:iCs/>
          <w:sz w:val="20"/>
          <w:szCs w:val="20"/>
        </w:rPr>
        <w:t>Jurnal Manajemen Pendidikan</w:t>
      </w:r>
      <w:r w:rsidRPr="00875F66">
        <w:rPr>
          <w:rFonts w:ascii="Times New Roman" w:hAnsi="Times New Roman"/>
          <w:sz w:val="20"/>
          <w:szCs w:val="20"/>
        </w:rPr>
        <w:t>, 9.3 (2024), 296–304</w:t>
      </w:r>
    </w:p>
    <w:p w14:paraId="1E0192E0"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Mustayah, Budiono, dan Eka Wulandari, </w:t>
      </w:r>
      <w:r w:rsidRPr="00875F66">
        <w:rPr>
          <w:rFonts w:ascii="Times New Roman" w:hAnsi="Times New Roman"/>
          <w:i/>
          <w:iCs/>
          <w:sz w:val="20"/>
          <w:szCs w:val="20"/>
        </w:rPr>
        <w:t>Penyelenggaraan Program Bimbingan Konseling di Perguruan Tinggi</w:t>
      </w:r>
      <w:r w:rsidRPr="00875F66">
        <w:rPr>
          <w:rFonts w:ascii="Times New Roman" w:hAnsi="Times New Roman"/>
          <w:sz w:val="20"/>
          <w:szCs w:val="20"/>
        </w:rPr>
        <w:t xml:space="preserve"> (Yogyakarta: Penerbit NEM, 2022)</w:t>
      </w:r>
    </w:p>
    <w:p w14:paraId="3D6C5EF6"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Nurhayati, Novida, Najlatun Naqiyah, dan Mochamad Nursalim, ‘Telaah Landasan Filsafat Ilmu Epistemologi dalam Perspektif Bimbingan Konseling dan Bimbingan Konseling Islam (Sebuah Studi Komparasi)’, </w:t>
      </w:r>
      <w:r w:rsidRPr="00875F66">
        <w:rPr>
          <w:rFonts w:ascii="Times New Roman" w:hAnsi="Times New Roman"/>
          <w:i/>
          <w:iCs/>
          <w:sz w:val="20"/>
          <w:szCs w:val="20"/>
        </w:rPr>
        <w:t>Assertive: Islamic Counseling Journal</w:t>
      </w:r>
      <w:r w:rsidRPr="00875F66">
        <w:rPr>
          <w:rFonts w:ascii="Times New Roman" w:hAnsi="Times New Roman"/>
          <w:sz w:val="20"/>
          <w:szCs w:val="20"/>
        </w:rPr>
        <w:t>, 2.1 (2023), 23–36</w:t>
      </w:r>
    </w:p>
    <w:p w14:paraId="0183D711"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Perdana, Martin Putra, dan Mohammad Muslih, ‘Logika sebagai Landasan Berpikir dan Berilmu Pengetahuan’, </w:t>
      </w:r>
      <w:r w:rsidRPr="00875F66">
        <w:rPr>
          <w:rFonts w:ascii="Times New Roman" w:hAnsi="Times New Roman"/>
          <w:i/>
          <w:iCs/>
          <w:sz w:val="20"/>
          <w:szCs w:val="20"/>
        </w:rPr>
        <w:t>Prosiding Konferensi Integrasi Interkoneksi Islam dan Sains</w:t>
      </w:r>
      <w:r w:rsidRPr="00875F66">
        <w:rPr>
          <w:rFonts w:ascii="Times New Roman" w:hAnsi="Times New Roman"/>
          <w:sz w:val="20"/>
          <w:szCs w:val="20"/>
        </w:rPr>
        <w:t>, 3 (2021), 147–55</w:t>
      </w:r>
    </w:p>
    <w:p w14:paraId="39DE5688"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Poedjiadi, Anna, Suwarma, dan Al Muchtar, ‘Modul Pengertian Filsafat’, </w:t>
      </w:r>
      <w:r w:rsidRPr="00875F66">
        <w:rPr>
          <w:rFonts w:ascii="Times New Roman" w:hAnsi="Times New Roman"/>
          <w:i/>
          <w:iCs/>
          <w:sz w:val="20"/>
          <w:szCs w:val="20"/>
        </w:rPr>
        <w:t>Repository UT</w:t>
      </w:r>
      <w:r w:rsidRPr="00875F66">
        <w:rPr>
          <w:rFonts w:ascii="Times New Roman" w:hAnsi="Times New Roman"/>
          <w:sz w:val="20"/>
          <w:szCs w:val="20"/>
        </w:rPr>
        <w:t xml:space="preserve"> (2014), 1–29</w:t>
      </w:r>
    </w:p>
    <w:p w14:paraId="21AA7175"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Pratiwi, Utari, Yeni Karneli, dan Sufyarma Marsidin, ‘Pemahaman Mendasar tentang Hakekat Ilmu dalam Tinjauan Filsafat: Ontologi, Epistemologi, dan Aksiologi’, </w:t>
      </w:r>
      <w:r w:rsidRPr="00875F66">
        <w:rPr>
          <w:rFonts w:ascii="Times New Roman" w:hAnsi="Times New Roman"/>
          <w:i/>
          <w:iCs/>
          <w:sz w:val="20"/>
          <w:szCs w:val="20"/>
        </w:rPr>
        <w:t>Jurnal Pendidikan Sains Nusantara</w:t>
      </w:r>
      <w:r w:rsidRPr="00875F66">
        <w:rPr>
          <w:rFonts w:ascii="Times New Roman" w:hAnsi="Times New Roman"/>
          <w:sz w:val="20"/>
          <w:szCs w:val="20"/>
        </w:rPr>
        <w:t>, 2.2 (2014)</w:t>
      </w:r>
    </w:p>
    <w:p w14:paraId="22CF5079"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Rakhmat, Muhamad, ‘Buku: Pengantar Logika Dasar’, </w:t>
      </w:r>
      <w:r w:rsidRPr="00875F66">
        <w:rPr>
          <w:rFonts w:ascii="Times New Roman" w:hAnsi="Times New Roman"/>
          <w:i/>
          <w:iCs/>
          <w:sz w:val="20"/>
          <w:szCs w:val="20"/>
        </w:rPr>
        <w:t>Repository Buku dan Jurnal</w:t>
      </w:r>
      <w:r w:rsidRPr="00875F66">
        <w:rPr>
          <w:rFonts w:ascii="Times New Roman" w:hAnsi="Times New Roman"/>
          <w:sz w:val="20"/>
          <w:szCs w:val="20"/>
        </w:rPr>
        <w:t xml:space="preserve">, 1.1 (2017), hlm. 12 </w:t>
      </w:r>
      <w:hyperlink r:id="rId16" w:tgtFrame="_new" w:history="1">
        <w:r w:rsidRPr="00875F66">
          <w:rPr>
            <w:rStyle w:val="Hyperlink"/>
            <w:rFonts w:ascii="Times New Roman" w:hAnsi="Times New Roman"/>
            <w:sz w:val="20"/>
            <w:szCs w:val="20"/>
          </w:rPr>
          <w:t>https://www.unma.ac.id/jurnal/index.php/RBJ/article/download/528/492</w:t>
        </w:r>
      </w:hyperlink>
    </w:p>
    <w:p w14:paraId="064F09ED"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Saftri, Eka, dan Ihsan Sa’dudin, ‘Aplikasi Integrasi Interkoneksi Keilmuan di Lembaga Pendidikan Tinggi’, </w:t>
      </w:r>
      <w:r w:rsidRPr="00875F66">
        <w:rPr>
          <w:rFonts w:ascii="Times New Roman" w:hAnsi="Times New Roman"/>
          <w:i/>
          <w:iCs/>
          <w:sz w:val="20"/>
          <w:szCs w:val="20"/>
        </w:rPr>
        <w:t>Tadrib</w:t>
      </w:r>
      <w:r w:rsidRPr="00875F66">
        <w:rPr>
          <w:rFonts w:ascii="Times New Roman" w:hAnsi="Times New Roman"/>
          <w:sz w:val="20"/>
          <w:szCs w:val="20"/>
        </w:rPr>
        <w:t>, 5.1 (2019), 122–37</w:t>
      </w:r>
    </w:p>
    <w:p w14:paraId="213C8604"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Sukirno, Agus, </w:t>
      </w:r>
      <w:r w:rsidRPr="00875F66">
        <w:rPr>
          <w:rFonts w:ascii="Times New Roman" w:hAnsi="Times New Roman"/>
          <w:i/>
          <w:iCs/>
          <w:sz w:val="20"/>
          <w:szCs w:val="20"/>
        </w:rPr>
        <w:t>Teori &amp; Teknik Konseling</w:t>
      </w:r>
      <w:r w:rsidRPr="00875F66">
        <w:rPr>
          <w:rFonts w:ascii="Times New Roman" w:hAnsi="Times New Roman"/>
          <w:sz w:val="20"/>
          <w:szCs w:val="20"/>
        </w:rPr>
        <w:t xml:space="preserve"> (Yogyakarta: Penerbit A-Empat, 2015)</w:t>
      </w:r>
    </w:p>
    <w:p w14:paraId="29EE14C8"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Sudiantara, Yosephus, </w:t>
      </w:r>
      <w:r w:rsidRPr="00875F66">
        <w:rPr>
          <w:rFonts w:ascii="Times New Roman" w:hAnsi="Times New Roman"/>
          <w:i/>
          <w:iCs/>
          <w:sz w:val="20"/>
          <w:szCs w:val="20"/>
        </w:rPr>
        <w:t>Filsafat Ilmu Pengetahuan: Bagian Pertama, Inti Filsafat Ilmu Pengetahuan</w:t>
      </w:r>
      <w:r w:rsidRPr="00875F66">
        <w:rPr>
          <w:rFonts w:ascii="Times New Roman" w:hAnsi="Times New Roman"/>
          <w:sz w:val="20"/>
          <w:szCs w:val="20"/>
        </w:rPr>
        <w:t xml:space="preserve"> (Surabaya: SCU Knowledge Media, 2020)</w:t>
      </w:r>
    </w:p>
    <w:p w14:paraId="2DA00184"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Syabani, Mifna Ahmad, </w:t>
      </w:r>
      <w:proofErr w:type="gramStart"/>
      <w:r w:rsidRPr="00875F66">
        <w:rPr>
          <w:rFonts w:ascii="Times New Roman" w:hAnsi="Times New Roman"/>
          <w:sz w:val="20"/>
          <w:szCs w:val="20"/>
        </w:rPr>
        <w:t>dkk.,</w:t>
      </w:r>
      <w:proofErr w:type="gramEnd"/>
      <w:r w:rsidRPr="00875F66">
        <w:rPr>
          <w:rFonts w:ascii="Times New Roman" w:hAnsi="Times New Roman"/>
          <w:sz w:val="20"/>
          <w:szCs w:val="20"/>
        </w:rPr>
        <w:t xml:space="preserve"> ‘Pengaruh Teknologi dalam Peningkatan Kemampuan Bahasa Indonesia di Era Digital’, </w:t>
      </w:r>
      <w:r w:rsidRPr="00875F66">
        <w:rPr>
          <w:rFonts w:ascii="Times New Roman" w:hAnsi="Times New Roman"/>
          <w:i/>
          <w:iCs/>
          <w:sz w:val="20"/>
          <w:szCs w:val="20"/>
        </w:rPr>
        <w:t>Sabda: Jurnal Sastra dan Bahasa</w:t>
      </w:r>
      <w:r w:rsidRPr="00875F66">
        <w:rPr>
          <w:rFonts w:ascii="Times New Roman" w:hAnsi="Times New Roman"/>
          <w:sz w:val="20"/>
          <w:szCs w:val="20"/>
        </w:rPr>
        <w:t>, 2.3 (2023)</w:t>
      </w:r>
    </w:p>
    <w:p w14:paraId="6E66FC04"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Tanjung, Sahrul, </w:t>
      </w:r>
      <w:r w:rsidRPr="00875F66">
        <w:rPr>
          <w:rFonts w:ascii="Times New Roman" w:hAnsi="Times New Roman"/>
          <w:i/>
          <w:iCs/>
          <w:sz w:val="20"/>
          <w:szCs w:val="20"/>
        </w:rPr>
        <w:t>Bimbingan Konseling Islami di Pesantren</w:t>
      </w:r>
      <w:r w:rsidRPr="00875F66">
        <w:rPr>
          <w:rFonts w:ascii="Times New Roman" w:hAnsi="Times New Roman"/>
          <w:sz w:val="20"/>
          <w:szCs w:val="20"/>
        </w:rPr>
        <w:t xml:space="preserve"> (Medan: UMSU Press, 2021)</w:t>
      </w:r>
    </w:p>
    <w:p w14:paraId="7FDF2833" w14:textId="77777777" w:rsidR="00875F66" w:rsidRPr="00875F66"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r w:rsidRPr="00875F66">
        <w:rPr>
          <w:rFonts w:ascii="Times New Roman" w:hAnsi="Times New Roman"/>
          <w:sz w:val="20"/>
          <w:szCs w:val="20"/>
        </w:rPr>
        <w:t xml:space="preserve">Thohir, Mohamad, ‘Filsafat Ilmu Bimbingan dan Konseling Islam: Integrasi Aspek Ilmiah dan Ilahiah’, </w:t>
      </w:r>
      <w:r w:rsidRPr="00875F66">
        <w:rPr>
          <w:rFonts w:ascii="Times New Roman" w:hAnsi="Times New Roman"/>
          <w:i/>
          <w:iCs/>
          <w:sz w:val="20"/>
          <w:szCs w:val="20"/>
        </w:rPr>
        <w:t>Al-Isyraq: Jurnal Bimbingan, Penyuluhan, dan Konseling Islam</w:t>
      </w:r>
      <w:r w:rsidRPr="00875F66">
        <w:rPr>
          <w:rFonts w:ascii="Times New Roman" w:hAnsi="Times New Roman"/>
          <w:sz w:val="20"/>
          <w:szCs w:val="20"/>
        </w:rPr>
        <w:t>, 4.1 (2021), 41–58</w:t>
      </w:r>
    </w:p>
    <w:p w14:paraId="42A1C775" w14:textId="77777777" w:rsidR="00875F66" w:rsidRPr="007A4584" w:rsidRDefault="00875F66" w:rsidP="00875F66">
      <w:pPr>
        <w:widowControl w:val="0"/>
        <w:autoSpaceDE w:val="0"/>
        <w:autoSpaceDN w:val="0"/>
        <w:adjustRightInd w:val="0"/>
        <w:spacing w:line="240" w:lineRule="auto"/>
        <w:ind w:left="480" w:hanging="480"/>
        <w:jc w:val="both"/>
        <w:rPr>
          <w:rFonts w:ascii="Times New Roman" w:hAnsi="Times New Roman"/>
          <w:sz w:val="20"/>
          <w:szCs w:val="20"/>
        </w:rPr>
      </w:pPr>
    </w:p>
    <w:p w14:paraId="68113937" w14:textId="0D3CFA3D" w:rsidR="003A1A75" w:rsidRPr="00ED136B" w:rsidRDefault="003A1A75" w:rsidP="007A4584">
      <w:pPr>
        <w:widowControl w:val="0"/>
        <w:autoSpaceDE w:val="0"/>
        <w:autoSpaceDN w:val="0"/>
        <w:adjustRightInd w:val="0"/>
        <w:spacing w:line="240" w:lineRule="auto"/>
        <w:ind w:left="480" w:hanging="480"/>
        <w:jc w:val="both"/>
        <w:rPr>
          <w:rFonts w:ascii="Times New Roman" w:hAnsi="Times New Roman"/>
          <w:sz w:val="20"/>
          <w:szCs w:val="20"/>
        </w:rPr>
      </w:pPr>
    </w:p>
    <w:sectPr w:rsidR="003A1A75" w:rsidRPr="00ED136B">
      <w:headerReference w:type="even" r:id="rId17"/>
      <w:headerReference w:type="default" r:id="rId18"/>
      <w:footerReference w:type="even" r:id="rId19"/>
      <w:footerReference w:type="default" r:id="rId20"/>
      <w:footerReference w:type="first" r:id="rId21"/>
      <w:pgSz w:w="9072" w:h="13608"/>
      <w:pgMar w:top="1304" w:right="1304" w:bottom="1304" w:left="1304" w:header="567" w:footer="32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3BBF0" w14:textId="77777777" w:rsidR="002A2373" w:rsidRDefault="002A2373">
      <w:pPr>
        <w:spacing w:after="0" w:line="240" w:lineRule="auto"/>
      </w:pPr>
      <w:r>
        <w:separator/>
      </w:r>
    </w:p>
  </w:endnote>
  <w:endnote w:type="continuationSeparator" w:id="0">
    <w:p w14:paraId="0E12A02D" w14:textId="77777777" w:rsidR="002A2373" w:rsidRDefault="002A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no Pr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3836B" w14:textId="77777777" w:rsidR="00164899" w:rsidRDefault="00164899">
    <w:pPr>
      <w:widowControl w:val="0"/>
      <w:pBdr>
        <w:top w:val="nil"/>
        <w:left w:val="nil"/>
        <w:bottom w:val="nil"/>
        <w:right w:val="nil"/>
        <w:between w:val="nil"/>
      </w:pBdr>
      <w:spacing w:after="0"/>
      <w:rPr>
        <w:rFonts w:ascii="Garamond" w:eastAsia="Garamond" w:hAnsi="Garamond" w:cs="Garamond"/>
        <w:color w:val="000000"/>
        <w:sz w:val="2"/>
        <w:szCs w:val="2"/>
      </w:rPr>
    </w:pPr>
  </w:p>
  <w:tbl>
    <w:tblPr>
      <w:tblStyle w:val="a2"/>
      <w:tblW w:w="6680" w:type="dxa"/>
      <w:tblLayout w:type="fixed"/>
      <w:tblLook w:val="0400" w:firstRow="0" w:lastRow="0" w:firstColumn="0" w:lastColumn="0" w:noHBand="0" w:noVBand="1"/>
    </w:tblPr>
    <w:tblGrid>
      <w:gridCol w:w="639"/>
      <w:gridCol w:w="6041"/>
    </w:tblGrid>
    <w:tr w:rsidR="00164899" w14:paraId="71E95A5E" w14:textId="77777777">
      <w:trPr>
        <w:trHeight w:val="360"/>
      </w:trPr>
      <w:tc>
        <w:tcPr>
          <w:tcW w:w="639" w:type="dxa"/>
          <w:shd w:val="clear" w:color="auto" w:fill="auto"/>
          <w:vAlign w:val="center"/>
        </w:tcPr>
        <w:p w14:paraId="3565432A" w14:textId="77777777" w:rsidR="00164899" w:rsidRDefault="00946304">
          <w:pPr>
            <w:pBdr>
              <w:top w:val="nil"/>
              <w:left w:val="nil"/>
              <w:bottom w:val="nil"/>
              <w:right w:val="nil"/>
              <w:between w:val="nil"/>
            </w:pBdr>
            <w:tabs>
              <w:tab w:val="center" w:pos="4680"/>
              <w:tab w:val="right" w:pos="9360"/>
            </w:tabs>
            <w:spacing w:after="0" w:line="240" w:lineRule="auto"/>
            <w:rPr>
              <w:rFonts w:ascii="Arno Pro" w:eastAsia="Arno Pro" w:hAnsi="Arno Pro" w:cs="Arno Pro"/>
              <w:color w:val="000000"/>
              <w:sz w:val="20"/>
              <w:szCs w:val="20"/>
            </w:rPr>
          </w:pPr>
          <w:r>
            <w:rPr>
              <w:rFonts w:ascii="Arno Pro" w:eastAsia="Arno Pro" w:hAnsi="Arno Pro" w:cs="Arno Pro"/>
              <w:color w:val="000000"/>
            </w:rPr>
            <w:fldChar w:fldCharType="begin"/>
          </w:r>
          <w:r>
            <w:rPr>
              <w:rFonts w:ascii="Arno Pro" w:eastAsia="Arno Pro" w:hAnsi="Arno Pro" w:cs="Arno Pro"/>
              <w:color w:val="000000"/>
            </w:rPr>
            <w:instrText>PAGE</w:instrText>
          </w:r>
          <w:r>
            <w:rPr>
              <w:rFonts w:ascii="Arno Pro" w:eastAsia="Arno Pro" w:hAnsi="Arno Pro" w:cs="Arno Pro"/>
              <w:color w:val="000000"/>
            </w:rPr>
            <w:fldChar w:fldCharType="end"/>
          </w:r>
        </w:p>
      </w:tc>
      <w:tc>
        <w:tcPr>
          <w:tcW w:w="6041" w:type="dxa"/>
          <w:vAlign w:val="center"/>
        </w:tcPr>
        <w:p w14:paraId="08CE6AF1" w14:textId="77777777" w:rsidR="00164899" w:rsidRDefault="00946304">
          <w:pPr>
            <w:pBdr>
              <w:top w:val="nil"/>
              <w:left w:val="nil"/>
              <w:bottom w:val="nil"/>
              <w:right w:val="nil"/>
              <w:between w:val="nil"/>
            </w:pBdr>
            <w:tabs>
              <w:tab w:val="center" w:pos="4680"/>
              <w:tab w:val="right" w:pos="9360"/>
            </w:tabs>
            <w:spacing w:after="0" w:line="240" w:lineRule="auto"/>
            <w:jc w:val="right"/>
            <w:rPr>
              <w:rFonts w:eastAsia="Calibri" w:cs="Calibri"/>
              <w:color w:val="000000"/>
              <w:sz w:val="20"/>
              <w:szCs w:val="20"/>
            </w:rPr>
          </w:pPr>
          <w:r>
            <w:rPr>
              <w:rFonts w:eastAsia="Calibri" w:cs="Calibri"/>
              <w:color w:val="000000"/>
              <w:sz w:val="20"/>
              <w:szCs w:val="20"/>
            </w:rPr>
            <w:t>DOI://dx.doi.org/10.24042/</w:t>
          </w:r>
          <w:r>
            <w:rPr>
              <w:rFonts w:ascii="Arno Pro" w:eastAsia="Arno Pro" w:hAnsi="Arno Pro" w:cs="Arno Pro"/>
              <w:color w:val="000000"/>
              <w:sz w:val="20"/>
              <w:szCs w:val="20"/>
            </w:rPr>
            <w:t>al-dzikra……</w:t>
          </w:r>
        </w:p>
      </w:tc>
    </w:tr>
  </w:tbl>
  <w:p w14:paraId="203CB88B" w14:textId="77777777" w:rsidR="00164899" w:rsidRDefault="00946304">
    <w:pPr>
      <w:pBdr>
        <w:top w:val="nil"/>
        <w:left w:val="nil"/>
        <w:bottom w:val="nil"/>
        <w:right w:val="nil"/>
        <w:between w:val="nil"/>
      </w:pBdr>
      <w:tabs>
        <w:tab w:val="center" w:pos="4680"/>
        <w:tab w:val="right" w:pos="9360"/>
        <w:tab w:val="left" w:pos="6104"/>
      </w:tabs>
      <w:spacing w:after="0" w:line="240" w:lineRule="auto"/>
      <w:rPr>
        <w:rFonts w:eastAsia="Calibri" w:cs="Calibri"/>
        <w:color w:val="000000"/>
        <w:sz w:val="2"/>
        <w:szCs w:val="2"/>
      </w:rPr>
    </w:pPr>
    <w:r>
      <w:rPr>
        <w:rFonts w:eastAsia="Calibri" w:cs="Calibri"/>
        <w:color w:val="000000"/>
        <w:sz w:val="2"/>
        <w:szCs w:val="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5069B" w14:textId="77777777" w:rsidR="00164899" w:rsidRPr="001C0CF2" w:rsidRDefault="00164899">
    <w:pPr>
      <w:widowControl w:val="0"/>
      <w:pBdr>
        <w:top w:val="nil"/>
        <w:left w:val="nil"/>
        <w:bottom w:val="nil"/>
        <w:right w:val="nil"/>
        <w:between w:val="nil"/>
      </w:pBdr>
      <w:spacing w:after="0"/>
      <w:rPr>
        <w:rFonts w:ascii="Times New Roman" w:eastAsia="Calibri" w:hAnsi="Times New Roman"/>
        <w:color w:val="4F81BD"/>
        <w:sz w:val="20"/>
        <w:szCs w:val="20"/>
      </w:rPr>
    </w:pPr>
  </w:p>
  <w:tbl>
    <w:tblPr>
      <w:tblStyle w:val="a1"/>
      <w:tblW w:w="6680" w:type="dxa"/>
      <w:tblBorders>
        <w:top w:val="single" w:sz="4" w:space="0" w:color="8064A2"/>
      </w:tblBorders>
      <w:tblLayout w:type="fixed"/>
      <w:tblLook w:val="0400" w:firstRow="0" w:lastRow="0" w:firstColumn="0" w:lastColumn="0" w:noHBand="0" w:noVBand="1"/>
    </w:tblPr>
    <w:tblGrid>
      <w:gridCol w:w="6144"/>
      <w:gridCol w:w="536"/>
    </w:tblGrid>
    <w:tr w:rsidR="00164899" w:rsidRPr="001C0CF2" w14:paraId="33A66311" w14:textId="77777777">
      <w:trPr>
        <w:trHeight w:val="360"/>
      </w:trPr>
      <w:tc>
        <w:tcPr>
          <w:tcW w:w="6144" w:type="dxa"/>
          <w:tcBorders>
            <w:top w:val="nil"/>
          </w:tcBorders>
        </w:tcPr>
        <w:p w14:paraId="162B5A94" w14:textId="0929DCFA" w:rsidR="00164899" w:rsidRPr="001C0CF2" w:rsidRDefault="00946304" w:rsidP="001C0CF2">
          <w:pPr>
            <w:pBdr>
              <w:top w:val="nil"/>
              <w:left w:val="nil"/>
              <w:bottom w:val="nil"/>
              <w:right w:val="nil"/>
              <w:between w:val="nil"/>
            </w:pBdr>
            <w:tabs>
              <w:tab w:val="center" w:pos="4680"/>
              <w:tab w:val="right" w:pos="9360"/>
            </w:tabs>
            <w:spacing w:after="0" w:line="240" w:lineRule="auto"/>
            <w:rPr>
              <w:rFonts w:ascii="Times New Roman" w:eastAsia="Calibri" w:hAnsi="Times New Roman"/>
              <w:color w:val="000000"/>
              <w:sz w:val="20"/>
              <w:szCs w:val="20"/>
            </w:rPr>
          </w:pPr>
          <w:r w:rsidRPr="001C0CF2">
            <w:rPr>
              <w:rFonts w:ascii="Times New Roman" w:hAnsi="Times New Roman"/>
              <w:color w:val="000000"/>
              <w:sz w:val="20"/>
              <w:szCs w:val="20"/>
            </w:rPr>
            <w:t>Bina' Al-Ummah</w:t>
          </w:r>
          <w:r w:rsidRPr="001C0CF2">
            <w:rPr>
              <w:rFonts w:ascii="Times New Roman" w:eastAsia="Calibri" w:hAnsi="Times New Roman"/>
              <w:color w:val="000000"/>
              <w:sz w:val="20"/>
              <w:szCs w:val="20"/>
            </w:rPr>
            <w:t>, Volume</w:t>
          </w:r>
          <w:r w:rsidR="001C0CF2" w:rsidRPr="001C0CF2">
            <w:rPr>
              <w:rFonts w:ascii="Times New Roman" w:eastAsia="Calibri" w:hAnsi="Times New Roman"/>
              <w:color w:val="000000"/>
              <w:sz w:val="20"/>
              <w:szCs w:val="20"/>
            </w:rPr>
            <w:t xml:space="preserve"> </w:t>
          </w:r>
          <w:r w:rsidR="00AE0945">
            <w:rPr>
              <w:rFonts w:ascii="Times New Roman" w:eastAsia="Calibri" w:hAnsi="Times New Roman"/>
              <w:color w:val="000000"/>
              <w:sz w:val="20"/>
              <w:szCs w:val="20"/>
            </w:rPr>
            <w:t>20</w:t>
          </w:r>
          <w:r w:rsidRPr="001C0CF2">
            <w:rPr>
              <w:rFonts w:ascii="Times New Roman" w:eastAsia="Calibri" w:hAnsi="Times New Roman"/>
              <w:color w:val="000000"/>
              <w:sz w:val="20"/>
              <w:szCs w:val="20"/>
            </w:rPr>
            <w:t xml:space="preserve">, </w:t>
          </w:r>
          <w:r w:rsidR="001C0CF2" w:rsidRPr="001C0CF2">
            <w:rPr>
              <w:rFonts w:ascii="Times New Roman" w:eastAsia="Calibri" w:hAnsi="Times New Roman"/>
              <w:color w:val="000000"/>
              <w:sz w:val="20"/>
              <w:szCs w:val="20"/>
            </w:rPr>
            <w:t>1, Juni, 2025.</w:t>
          </w:r>
          <w:r w:rsidRPr="001C0CF2">
            <w:rPr>
              <w:rFonts w:ascii="Times New Roman" w:eastAsia="Calibri" w:hAnsi="Times New Roman"/>
              <w:color w:val="000000"/>
              <w:sz w:val="20"/>
              <w:szCs w:val="20"/>
            </w:rPr>
            <w:t xml:space="preserve"> </w:t>
          </w:r>
        </w:p>
      </w:tc>
      <w:tc>
        <w:tcPr>
          <w:tcW w:w="536" w:type="dxa"/>
          <w:tcBorders>
            <w:top w:val="nil"/>
          </w:tcBorders>
          <w:shd w:val="clear" w:color="auto" w:fill="auto"/>
        </w:tcPr>
        <w:p w14:paraId="183E9352" w14:textId="77777777" w:rsidR="00164899" w:rsidRPr="001C0CF2" w:rsidRDefault="00946304">
          <w:pPr>
            <w:pBdr>
              <w:top w:val="nil"/>
              <w:left w:val="nil"/>
              <w:bottom w:val="nil"/>
              <w:right w:val="nil"/>
              <w:between w:val="nil"/>
            </w:pBdr>
            <w:tabs>
              <w:tab w:val="center" w:pos="4680"/>
              <w:tab w:val="right" w:pos="9360"/>
            </w:tabs>
            <w:spacing w:after="0" w:line="240" w:lineRule="auto"/>
            <w:jc w:val="right"/>
            <w:rPr>
              <w:rFonts w:ascii="Times New Roman" w:eastAsia="Arno Pro" w:hAnsi="Times New Roman"/>
              <w:color w:val="000000"/>
              <w:sz w:val="20"/>
              <w:szCs w:val="20"/>
            </w:rPr>
          </w:pPr>
          <w:r w:rsidRPr="001C0CF2">
            <w:rPr>
              <w:rFonts w:ascii="Times New Roman" w:eastAsia="Arno Pro" w:hAnsi="Times New Roman"/>
              <w:color w:val="000000"/>
              <w:sz w:val="20"/>
              <w:szCs w:val="20"/>
            </w:rPr>
            <w:fldChar w:fldCharType="begin"/>
          </w:r>
          <w:r w:rsidRPr="001C0CF2">
            <w:rPr>
              <w:rFonts w:ascii="Times New Roman" w:eastAsia="Arno Pro" w:hAnsi="Times New Roman"/>
              <w:color w:val="000000"/>
              <w:sz w:val="20"/>
              <w:szCs w:val="20"/>
            </w:rPr>
            <w:instrText>PAGE</w:instrText>
          </w:r>
          <w:r w:rsidRPr="001C0CF2">
            <w:rPr>
              <w:rFonts w:ascii="Times New Roman" w:eastAsia="Arno Pro" w:hAnsi="Times New Roman"/>
              <w:color w:val="000000"/>
              <w:sz w:val="20"/>
              <w:szCs w:val="20"/>
            </w:rPr>
            <w:fldChar w:fldCharType="separate"/>
          </w:r>
          <w:r w:rsidR="00AE0945">
            <w:rPr>
              <w:rFonts w:ascii="Times New Roman" w:eastAsia="Arno Pro" w:hAnsi="Times New Roman"/>
              <w:noProof/>
              <w:color w:val="000000"/>
              <w:sz w:val="20"/>
              <w:szCs w:val="20"/>
            </w:rPr>
            <w:t>1</w:t>
          </w:r>
          <w:r w:rsidRPr="001C0CF2">
            <w:rPr>
              <w:rFonts w:ascii="Times New Roman" w:eastAsia="Arno Pro" w:hAnsi="Times New Roman"/>
              <w:color w:val="000000"/>
              <w:sz w:val="20"/>
              <w:szCs w:val="20"/>
            </w:rPr>
            <w:fldChar w:fldCharType="end"/>
          </w:r>
        </w:p>
      </w:tc>
    </w:tr>
  </w:tbl>
  <w:p w14:paraId="11335873" w14:textId="77777777" w:rsidR="00164899" w:rsidRPr="001C0CF2" w:rsidRDefault="00164899">
    <w:pPr>
      <w:pBdr>
        <w:top w:val="nil"/>
        <w:left w:val="nil"/>
        <w:bottom w:val="nil"/>
        <w:right w:val="nil"/>
        <w:between w:val="nil"/>
      </w:pBdr>
      <w:tabs>
        <w:tab w:val="center" w:pos="4680"/>
        <w:tab w:val="right" w:pos="9360"/>
      </w:tabs>
      <w:spacing w:after="0" w:line="240" w:lineRule="auto"/>
      <w:rPr>
        <w:rFonts w:ascii="Times New Roman" w:eastAsia="Garamond" w:hAnsi="Times New Roman"/>
        <w:color w:val="00000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94DAE" w14:textId="77777777" w:rsidR="00164899" w:rsidRDefault="00946304">
    <w:pPr>
      <w:pBdr>
        <w:top w:val="nil"/>
        <w:left w:val="nil"/>
        <w:bottom w:val="nil"/>
        <w:right w:val="nil"/>
        <w:between w:val="nil"/>
      </w:pBdr>
      <w:tabs>
        <w:tab w:val="center" w:pos="4680"/>
        <w:tab w:val="right" w:pos="9360"/>
      </w:tabs>
      <w:spacing w:after="0" w:line="240" w:lineRule="auto"/>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end"/>
    </w:r>
  </w:p>
  <w:p w14:paraId="5DF6104F" w14:textId="77777777" w:rsidR="00164899" w:rsidRDefault="00164899">
    <w:pPr>
      <w:pBdr>
        <w:top w:val="nil"/>
        <w:left w:val="nil"/>
        <w:bottom w:val="nil"/>
        <w:right w:val="nil"/>
        <w:between w:val="nil"/>
      </w:pBdr>
      <w:tabs>
        <w:tab w:val="center" w:pos="4680"/>
        <w:tab w:val="right" w:pos="9360"/>
      </w:tabs>
      <w:spacing w:after="0" w:line="240" w:lineRule="auto"/>
      <w:rPr>
        <w:rFonts w:eastAsia="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69AA4" w14:textId="77777777" w:rsidR="002A2373" w:rsidRDefault="002A2373">
      <w:pPr>
        <w:spacing w:after="0" w:line="240" w:lineRule="auto"/>
      </w:pPr>
      <w:r>
        <w:separator/>
      </w:r>
    </w:p>
  </w:footnote>
  <w:footnote w:type="continuationSeparator" w:id="0">
    <w:p w14:paraId="6542D399" w14:textId="77777777" w:rsidR="002A2373" w:rsidRDefault="002A2373">
      <w:pPr>
        <w:spacing w:after="0" w:line="240" w:lineRule="auto"/>
      </w:pPr>
      <w:r>
        <w:continuationSeparator/>
      </w:r>
    </w:p>
  </w:footnote>
  <w:footnote w:id="1">
    <w:p w14:paraId="5B436C98" w14:textId="3CFAE892"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{"citationItems":[{"id":"ITEM-1","itemData":{"author":[{"dropping-particle":"","family":"Basri","given":"A Said Hasan","non-dropping-particle":"","parse-names":false,"suffix":""},{"dropping-particle":"","family":"Mlusyryfin","given":"Zaen","non-dropping-particle":"","parse-names":false,"suffix":""},{"dropping-particle":"","family":"Anwar","given":"Moh Khaerul","non-dropping-particle":"","parse-names":false,"suffix":""},{"dropping-particle":"","family":"Khairunh","given":"Hayatul","non-dropping-particle":"","parse-names":false,"suffix":""}],"container-title":"Pengembangan Model Keilmuan Bimbingan dan Konseling Islam Melalui Jurnal Hisbah: Jurnal Bimbingan Konseling dan Dakwah Islam","id":"ITEM-1","issue":"2","issued":{"date-parts":[["2019"]]},"page":"136-158","publisher":"Perkumpulan Ahli Bimbingan Konseling Islam Indonesia","title":"Pengembangan Model Keilmuan Bimbingan dan Konseling Islam Melalui Jurnal Hisbah: Jurnal Bimbingan Konseling dan Dakwah Islam","type":"article-journal","volume":"2"},"uris":["http://www.mendeley.com/documents/?uuid=36cece87-f965-43fb-973a-7852e119fa35"]}],"mendeley":{"formattedCitation":"A Said Hasan Basri et al., “Pengembangan Model Keilmuan Bimbingan dan Konseling Islam Melalui Jurnal Hisbah: Jurnal Bimbingan Konseling dan Dakwah Islam,” &lt;i&gt;Pengembangan Model Keilmuan Bimbingan dan Konseling Islam Melalui Jurnal Hisbah: Jurnal Bimbingan Konseling dan Dakwah Islam&lt;/i&gt;, 2.2 (2019), 136–58.","plainTextFormattedCitation":"A Said Hasan Basri et al., “Pengembangan Model Keilmuan Bimbingan dan Konseling Islam Melalui Jurnal Hisbah: Jurnal Bimbingan Konseling dan Dakwah Islam,” Pengembangan Model Keilmuan Bimbingan dan Konseling Islam Melalui Jurnal Hisbah: Jurnal Bimbingan Konseling dan Dakwah Islam, 2.2 (2019), 136–58.","previouslyFormattedCitation":"A Said Hasan Basri et al., “Pengembangan Model Keilmuan Bimbingan dan Konseling Islam Melalui Jurnal Hisbah: Jurnal Bimbingan Konseling dan Dakwah Islam,” &lt;i&gt;Pengembangan Model Keilmuan Bimbingan dan Konseling Islam Melalui Jurnal Hisbah: Jurnal Bimbingan Konseling dan Dakwah Islam&lt;/i&gt;, 2.2 (2019), 136–58."},"properties":{"noteIndex":1},"schema":"https://github.com/citation-style-language/schema/raw/master/csl-citation.json"}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A Said Hasan Basri et al., “Pengembangan Model Keilmuan Bimbingan dan Konseling Islam Melalui Jurnal Hisbah: Jurnal Bimbingan Konseling dan Dakwah Islam,” </w:t>
      </w:r>
      <w:r w:rsidRPr="007A4584">
        <w:rPr>
          <w:rFonts w:ascii="Times New Roman" w:hAnsi="Times New Roman"/>
          <w:i/>
          <w:noProof/>
          <w:sz w:val="16"/>
          <w:szCs w:val="16"/>
        </w:rPr>
        <w:t>Pengembangan Model Keilmuan Bimbingan dan Konseling Islam Melalui Jurnal Hisbah: Jurnal Bimbingan Konseling dan Dakwah Islam</w:t>
      </w:r>
      <w:r w:rsidRPr="007A4584">
        <w:rPr>
          <w:rFonts w:ascii="Times New Roman" w:hAnsi="Times New Roman"/>
          <w:noProof/>
          <w:sz w:val="16"/>
          <w:szCs w:val="16"/>
        </w:rPr>
        <w:t>, 2.2 (2019), 136–58.</w:t>
      </w:r>
      <w:r w:rsidRPr="007A4584">
        <w:rPr>
          <w:rFonts w:ascii="Times New Roman" w:hAnsi="Times New Roman"/>
          <w:sz w:val="16"/>
          <w:szCs w:val="16"/>
        </w:rPr>
        <w:fldChar w:fldCharType="end"/>
      </w:r>
    </w:p>
  </w:footnote>
  <w:footnote w:id="2">
    <w:p w14:paraId="2916508C" w14:textId="7CB9B21C"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ISSN":"2986-2647","author":[{"dropping-particle":"","family":"Nurhayati","given":"Novida","non-dropping-particle":"","parse-names":false,"suffix":""},{"dropping-particle":"","family":"Naqiyah","given":"Najlatun","non-dropping-particle":"","parse-names":false,"suffix":""},{"dropping-particle":"","family":"Nursalim","given":"Mochamad","non-dropping-particle":"","parse-names":false,"suffix":""}],"container-title":"Assertive: Islamic Counseling Journal","id":"ITEM-1","issue":"1","issued":{"date-parts":[["2023"]]},"page":"23-36","title":"Telaah Landasan Filsafat Ilmu Epistemologi dalam Perspektif Bimbingan Konseling dan Bimbingan Konseling Islam (Sebuah Studi Komparasi)","type":"article-journal","volume":"2"},"uris":["http://www.mendeley.com/documents/?uuid=e921d173-ce41-46d1-95c3-2ea4f2fb40e2"]}],"mendeley":{"formattedCitation":"Novida Nurhayati, Najlatun Naqiyah, dan Mochamad Nursalim, “Telaah Landasan Filsafat Ilmu Epistemologi dalam Perspektif Bimbingan Konseling dan Bimbingan Konseling Islam (Sebuah Studi Komparasi),” &lt;i&gt;Assertive: Islamic Counseling Journal&lt;/i&gt;, 2.1 (2023), 23–36.","plainTextFormattedCitation":"Novida Nurhayati, Najlatun Naqiyah, dan Mochamad Nursalim, “Telaah Landasan Filsafat Ilmu Epistemologi dalam Perspektif Bimbingan Konseling dan Bimbingan Konseling Islam (Sebuah Studi Komparasi),” Assertive: Islamic Counseling Journal, 2.1 (2023), 23–36.","previouslyFormattedCitation":"Novida Nurhayati, Najlatun Naqiyah, dan Mochamad Nursalim, “Telaah Landasan Filsafat Ilmu Epistemologi dalam Perspektif Bimbingan Konseling dan Bimbingan Konseling Islam (Sebuah Studi Komparasi),” &lt;i&gt;Assertive: Islamic Counseling Journal&lt;/i&gt;, 2.1 (2023), 23–36."},"properties":{"noteIndex":2},"schema":"https://github.com/citation-style-language/schema/raw/master/csl-citation.json"}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Novida Nurhayati, Najlatun Naqiyah, dan Mochamad Nursalim, “Telaah Landasan Filsafat Ilmu Epistemologi dalam Perspektif Bimbingan Konseling dan Bimbingan Konseling Islam (Sebuah Studi Komparasi),” </w:t>
      </w:r>
      <w:r w:rsidRPr="007A4584">
        <w:rPr>
          <w:rFonts w:ascii="Times New Roman" w:hAnsi="Times New Roman"/>
          <w:i/>
          <w:noProof/>
          <w:sz w:val="16"/>
          <w:szCs w:val="16"/>
        </w:rPr>
        <w:t>Assertive: Islamic Counseling Journal</w:t>
      </w:r>
      <w:r w:rsidRPr="007A4584">
        <w:rPr>
          <w:rFonts w:ascii="Times New Roman" w:hAnsi="Times New Roman"/>
          <w:noProof/>
          <w:sz w:val="16"/>
          <w:szCs w:val="16"/>
        </w:rPr>
        <w:t>, 2.1 (2023), 23–36.</w:t>
      </w:r>
      <w:r w:rsidRPr="007A4584">
        <w:rPr>
          <w:rFonts w:ascii="Times New Roman" w:hAnsi="Times New Roman"/>
          <w:sz w:val="16"/>
          <w:szCs w:val="16"/>
        </w:rPr>
        <w:fldChar w:fldCharType="end"/>
      </w:r>
    </w:p>
  </w:footnote>
  <w:footnote w:id="3">
    <w:p w14:paraId="2A11C66D" w14:textId="26E2B43C"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{"citationItems":[{"id":"ITEM-1","itemData":{"ISBN":"6237635467","author":[{"dropping-particle":"","family":"Sudiantara","given":"Yosephus","non-dropping-particle":"","parse-names":false,"suffix":""}],"id":"ITEM-1","issued":{"date-parts":[["2020"]]},"publisher":"SCU Knowledge Media","title":"Filsafat Ilmu Pengetahuan: Bagian pertama, Inti Filsafat Ilmu Pengetahuan","type":"book"},"uris":["http://www.mendeley.com/documents/?uuid=f712527b-5420-451e-9dba-9f196d62b1be"]}],"mendeley":{"formattedCitation":"Yosephus Sudiantara, &lt;i&gt;Filsafat Ilmu Pengetahuan: Bagian pertama, Inti Filsafat Ilmu Pengetahuan&lt;/i&gt; (SCU Knowledge Media, 2020).","plainTextFormattedCitation":"Yosephus Sudiantara, Filsafat Ilmu Pengetahuan: Bagian pertama, Inti Filsafat Ilmu Pengetahuan (SCU Knowledge Media, 2020).","previouslyFormattedCitation":"Yosephus Sudiantara, &lt;i&gt;Filsafat Ilmu Pengetahuan: Bagian pertama, Inti Filsafat Ilmu Pengetahuan&lt;/i&gt; (SCU Knowledge Media, 2020)."},"properties":{"noteIndex":3},"schema":"https://github.com/citation-style-language/schema/raw/master/csl-citation.json"}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Yosephus Sudiantara, </w:t>
      </w:r>
      <w:r w:rsidRPr="007A4584">
        <w:rPr>
          <w:rFonts w:ascii="Times New Roman" w:hAnsi="Times New Roman"/>
          <w:i/>
          <w:noProof/>
          <w:sz w:val="16"/>
          <w:szCs w:val="16"/>
        </w:rPr>
        <w:t>Filsafat Ilmu Pengetahuan: Bagian pertama, Inti Filsafat Ilmu Pengetahuan</w:t>
      </w:r>
      <w:r w:rsidRPr="007A4584">
        <w:rPr>
          <w:rFonts w:ascii="Times New Roman" w:hAnsi="Times New Roman"/>
          <w:noProof/>
          <w:sz w:val="16"/>
          <w:szCs w:val="16"/>
        </w:rPr>
        <w:t xml:space="preserve"> (SCU Knowledge Media, 2020).</w:t>
      </w:r>
      <w:r w:rsidRPr="007A4584">
        <w:rPr>
          <w:rFonts w:ascii="Times New Roman" w:hAnsi="Times New Roman"/>
          <w:sz w:val="16"/>
          <w:szCs w:val="16"/>
        </w:rPr>
        <w:fldChar w:fldCharType="end"/>
      </w:r>
    </w:p>
  </w:footnote>
  <w:footnote w:id="4">
    <w:p w14:paraId="6FF942BE" w14:textId="6F1C77E6"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{"citationItems":[{"id":"ITEM-1","itemData":{"ISSN":"2621-2838","author":[{"dropping-particle":"","family":"Fathih","given":"Muhammad Amin","non-dropping-particle":"","parse-names":false,"suffix":""},{"dropping-particle":"","family":"Muhlis","given":"Nur Khozim","non-dropping-particle":"","parse-names":false,"suffix":""}],"container-title":"Dirasah: Jurnal Studi Ilmu Dan Manajemen Pendidikan Islam","id":"ITEM-1","issue":"1","issued":{"date-parts":[["2023"]]},"page":"20-29","title":"Problematika penerapan manajemen pendidikan di lembaga pendidikan Islam","type":"article-journal","volume":"6"},"uris":["http://www.mendeley.com/documents/?uuid=9fec052a-5935-4f7b-94a7-44e8f988d5f5"]}],"mendeley":{"formattedCitation":"Muhammad Amin Fathih dan Nur Khozim Muhlis, “Problematika penerapan manajemen pendidikan di lembaga pendidikan Islam,” &lt;i&gt;Dirasah: Jurnal Studi Ilmu Dan Manajemen Pendidikan Islam&lt;/i&gt;, 6.1 (2023), 20–29.","plainTextFormattedCitation":"Muhammad Amin Fathih dan Nur Khozim Muhlis, “Problematika penerapan manajemen pendidikan di lembaga pendidikan Islam,” Dirasah: Jurnal Studi Ilmu Dan Manajemen Pendidikan Islam, 6.1 (2023), 20–29.","previouslyFormattedCitation":"Muhammad Amin Fathih dan Nur Khozim Muhlis, “Problematika penerapan manajemen pendidikan di lembaga pendidikan Islam,” &lt;i&gt;Dirasah: Jurnal Studi Ilmu Dan Manajemen Pendidikan Islam&lt;/i&gt;, 6.1 (2023), 20–29."},"properties":{"noteIndex":4},"schema":"https://github.com/citation-style-language/schema/raw/master/csl-citation.json"}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Muhammad Amin Fathih dan Nur Khozim Muhlis, “Problematika penerapan manajemen pendidikan di lembaga pendidikan Islam,” </w:t>
      </w:r>
      <w:r w:rsidRPr="007A4584">
        <w:rPr>
          <w:rFonts w:ascii="Times New Roman" w:hAnsi="Times New Roman"/>
          <w:i/>
          <w:noProof/>
          <w:sz w:val="16"/>
          <w:szCs w:val="16"/>
        </w:rPr>
        <w:t>Dirasah: Jurnal Studi Ilmu Dan Manajemen Pendidikan Islam</w:t>
      </w:r>
      <w:r w:rsidRPr="007A4584">
        <w:rPr>
          <w:rFonts w:ascii="Times New Roman" w:hAnsi="Times New Roman"/>
          <w:noProof/>
          <w:sz w:val="16"/>
          <w:szCs w:val="16"/>
        </w:rPr>
        <w:t>, 6.1 (2023), 20–29.</w:t>
      </w:r>
      <w:r w:rsidRPr="007A4584">
        <w:rPr>
          <w:rFonts w:ascii="Times New Roman" w:hAnsi="Times New Roman"/>
          <w:sz w:val="16"/>
          <w:szCs w:val="16"/>
        </w:rPr>
        <w:fldChar w:fldCharType="end"/>
      </w:r>
    </w:p>
  </w:footnote>
  <w:footnote w:id="5">
    <w:p w14:paraId="5D6B7045" w14:textId="28943177"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{"citationItems":[{"id":"ITEM-1","itemData":{"ISSN":"2986-2647","author":[{"dropping-particle":"","family":"Awawina","given":"Azka Silma","non-dropping-particle":"","parse-names":false,"suffix":""}],"container-title":"Assertive: Islamic Counseling Journal","id":"ITEM-1","issue":"1","issued":{"date-parts":[["2022"]]},"page":"46-60","title":"Peta Konsep Keilmuwan Bimbingan Dan Konseling Islam","type":"article-journal","volume":"1"},"uris":["http://www.mendeley.com/documents/?uuid=9cb0cd6c-85c5-49af-8879-f967fd222873"]}],"mendeley":{"formattedCitation":"Azka Silma Awawina, “Peta Konsep Keilmuwan Bimbingan Dan Konseling Islam,” &lt;i&gt;Assertive: Islamic Counseling Journal&lt;/i&gt;, 1.1 (2022), 46–60.","plainTextFormattedCitation":"Azka Silma Awawina, “Peta Konsep Keilmuwan Bimbingan Dan Konseling Islam,” Assertive: Islamic Counseling Journal, 1.1 (2022), 46–60.","previouslyFormattedCitation":"Azka Silma Awawina, “Peta Konsep Keilmuwan Bimbingan Dan Konseling Islam,” &lt;i&gt;Assertive: Islamic Counseling Journal&lt;/i&gt;, 1.1 (2022), 46–60."},"properties":{"noteIndex":5},"schema":"https://github.com/citation-style-language/schema/raw/master/csl-citation.json"}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Azka Silma Awawina, “Peta Konsep Keilmuwan Bimbingan Dan Konseling Islam,” </w:t>
      </w:r>
      <w:r w:rsidRPr="007A4584">
        <w:rPr>
          <w:rFonts w:ascii="Times New Roman" w:hAnsi="Times New Roman"/>
          <w:i/>
          <w:noProof/>
          <w:sz w:val="16"/>
          <w:szCs w:val="16"/>
        </w:rPr>
        <w:t>Assertive: Islamic Counseling Journal</w:t>
      </w:r>
      <w:r w:rsidRPr="007A4584">
        <w:rPr>
          <w:rFonts w:ascii="Times New Roman" w:hAnsi="Times New Roman"/>
          <w:noProof/>
          <w:sz w:val="16"/>
          <w:szCs w:val="16"/>
        </w:rPr>
        <w:t>, 1.1 (2022), 46–60.</w:t>
      </w:r>
      <w:r w:rsidRPr="007A4584">
        <w:rPr>
          <w:rFonts w:ascii="Times New Roman" w:hAnsi="Times New Roman"/>
          <w:sz w:val="16"/>
          <w:szCs w:val="16"/>
        </w:rPr>
        <w:fldChar w:fldCharType="end"/>
      </w:r>
    </w:p>
  </w:footnote>
  <w:footnote w:id="6">
    <w:p w14:paraId="4566E337" w14:textId="1D22601D"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{"citationItems":[{"id":"ITEM-1","itemData":{"ISSN":"2685-8509","author":[{"dropping-particle":"","family":"Thohir","given":"Mohamad","non-dropping-particle":"","parse-names":false,"suffix":""}],"container-title":"Al-Isyraq: Jurnal Bimbingan, Penyuluhan, dan Konseling Islam","id":"ITEM-1","issue":"1","issued":{"date-parts":[["2021"]]},"page":"41-58","title":"Filsafat Ilmu Bimbingan dan Konseling Islam: Integrasi Aspek Ilmiah dan Ilahiah","type":"article-journal","volume":"4"},"uris":["http://www.mendeley.com/documents/?uuid=0cd62ecd-45b8-40e4-bf42-22ce6a42fd74"]}],"mendeley":{"formattedCitation":"Mohamad Thohir, “Filsafat Ilmu Bimbingan dan Konseling Islam: Integrasi Aspek Ilmiah dan Ilahiah,” &lt;i&gt;Al-Isyraq: Jurnal Bimbingan, Penyuluhan, dan Konseling Islam&lt;/i&gt;, 4.1 (2021), 41–58.","plainTextFormattedCitation":"Mohamad Thohir, “Filsafat Ilmu Bimbingan dan Konseling Islam: Integrasi Aspek Ilmiah dan Ilahiah,” Al-Isyraq: Jurnal Bimbingan, Penyuluhan, dan Konseling Islam, 4.1 (2021), 41–58.","previouslyFormattedCitation":"Mohamad Thohir, “Filsafat Ilmu Bimbingan dan Konseling Islam: Integrasi Aspek Ilmiah dan Ilahiah,” &lt;i&gt;Al-Isyraq: Jurnal Bimbingan, Penyuluhan, dan Konseling Islam&lt;/i&gt;, 4.1 (2021), 41–58."},"properties":{"noteIndex":6},"schema":"https://github.com/citation-style-language/schema/raw/master/csl-citation.json"}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Mohamad Thohir, “Filsafat Ilmu Bimbingan dan Konseling Islam: Integrasi Aspek Ilmiah dan Ilahiah,” </w:t>
      </w:r>
      <w:r w:rsidRPr="007A4584">
        <w:rPr>
          <w:rFonts w:ascii="Times New Roman" w:hAnsi="Times New Roman"/>
          <w:i/>
          <w:noProof/>
          <w:sz w:val="16"/>
          <w:szCs w:val="16"/>
        </w:rPr>
        <w:t>Al-Isyraq: Jurnal Bimbingan, Penyuluhan, dan Konseling Islam</w:t>
      </w:r>
      <w:r w:rsidRPr="007A4584">
        <w:rPr>
          <w:rFonts w:ascii="Times New Roman" w:hAnsi="Times New Roman"/>
          <w:noProof/>
          <w:sz w:val="16"/>
          <w:szCs w:val="16"/>
        </w:rPr>
        <w:t>, 4.1 (2021), 41–58.</w:t>
      </w:r>
      <w:r w:rsidRPr="007A4584">
        <w:rPr>
          <w:rFonts w:ascii="Times New Roman" w:hAnsi="Times New Roman"/>
          <w:sz w:val="16"/>
          <w:szCs w:val="16"/>
        </w:rPr>
        <w:fldChar w:fldCharType="end"/>
      </w:r>
    </w:p>
  </w:footnote>
  <w:footnote w:id="7">
    <w:p w14:paraId="75CFB57C" w14:textId="1BE976ED"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007C5CA5" w:rsidRPr="007A4584">
        <w:rPr>
          <w:rFonts w:ascii="Times New Roman" w:hAnsi="Times New Roman"/>
          <w:sz w:val="16"/>
          <w:szCs w:val="16"/>
        </w:rPr>
        <w:instrText>ADDIN CSL_CITATION {"citationItems":[{"id":"ITEM-1","itemData":{"ISBN":"6234080103","author":[{"dropping-particle":"","family":"Tanjung","given":"Sahrul","non-dropping-particle":"","parse-names":false,"suffix":""}],"id":"ITEM-1","issued":{"date-parts":[["2021"]]},"publisher":"umsu press","title":"Bimbingan Konseling Islami Di Pesantren","type":"book"},"uris":["http://www.mendeley.com/documents/?uuid=48f75b42-7466-4646-bae0-52476bf0b52e"]}],"mendeley":{"formattedCitation":"Sahrul Tanjung, &lt;i&gt;Bimbingan Konseling Islami Di Pesantren&lt;/i&gt; (umsu press, 2021).","plainTextFormattedCitation":"Sahrul Tanjung, Bimbingan Konseling Islami Di Pesantren (umsu press, 2021).","previouslyFormattedCitation":"Sahrul Tanjung, &lt;i&gt;Bimbingan Konseling Islami Di Pesantren&lt;/i&gt; (umsu press, 2021)."},"properties":{"noteIndex":7},"schema":"https://github.com/citation-style-language/schema/raw/master/csl-citation.json"}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Sahrul Tanjung, </w:t>
      </w:r>
      <w:r w:rsidRPr="007A4584">
        <w:rPr>
          <w:rFonts w:ascii="Times New Roman" w:hAnsi="Times New Roman"/>
          <w:i/>
          <w:noProof/>
          <w:sz w:val="16"/>
          <w:szCs w:val="16"/>
        </w:rPr>
        <w:t>Bimbingan Konseling Islami Di Pesantren</w:t>
      </w:r>
      <w:r w:rsidRPr="007A4584">
        <w:rPr>
          <w:rFonts w:ascii="Times New Roman" w:hAnsi="Times New Roman"/>
          <w:noProof/>
          <w:sz w:val="16"/>
          <w:szCs w:val="16"/>
        </w:rPr>
        <w:t xml:space="preserve"> (umsu press, 2021).</w:t>
      </w:r>
      <w:r w:rsidRPr="007A4584">
        <w:rPr>
          <w:rFonts w:ascii="Times New Roman" w:hAnsi="Times New Roman"/>
          <w:sz w:val="16"/>
          <w:szCs w:val="16"/>
        </w:rPr>
        <w:fldChar w:fldCharType="end"/>
      </w:r>
    </w:p>
  </w:footnote>
  <w:footnote w:id="8">
    <w:p w14:paraId="2DF4E7D0" w14:textId="00D9A622" w:rsidR="007C5CA5" w:rsidRPr="007A4584" w:rsidRDefault="007C5CA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{"citationItems":[{"id":"ITEM-1","itemData":{"ISSN":"2077-1444","author":[{"dropping-particle":"","family":"Erdoğan","given":"İbrahim Halil","non-dropping-particle":"","parse-names":false,"suffix":""},{"dropping-particle":"","family":"Eryücel","given":"Sema","non-dropping-particle":"","parse-names":false,"suffix":""}],"container-title":"Religions","id":"ITEM-1","issue":"11","issued":{"date-parts":[["2024"]]},"page":"1383","publisher":"MDPI","title":"The Concept of Divine Revelation According to Ibn Sînâ and Al-Ghazālī: A Comparative Analysis","type":"article-journal","volume":"15"},"uris":["http://www.mendeley.com/documents/?uuid=07f59a1a-d3ff-4ac6-97f2-88ac30e52a0c"]}],"mendeley":{"formattedCitation":"İbrahim Halil Erdoğan dan Sema Eryücel, “The Concept of Divine Revelation According to Ibn Sînâ and Al-Ghazālī: A Comparative Analysis,” &lt;i&gt;Religions&lt;/i&gt;, 15.11 (2024), 1383.","plainTextFormattedCitation":"İbrahim Halil Erdoğan dan Sema Eryücel, “The Concept of Divine Revelation According to Ibn Sînâ and Al-Ghazālī: A Comparative Analysis,” Religions, 15.11 (2024), 1383.","previouslyFormattedCitation":"İbrahim Halil Erdoğan dan Sema Eryücel, “The Concept of Divine Revelation According to Ibn Sînâ and Al-Ghazālī: A Comparative Analysis,” &lt;i&gt;Religions&lt;/i&gt;, 15.11 (2024), 1383."},"properties":{"noteIndex":8},"schema":"https://github.com/citation-style-language/schema/raw/master/csl-citation.json"}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İbrahim Halil Erdoğan dan Sema Eryücel, “The Concept of Divine Revelation According to Ibn Sînâ and Al-Ghazālī: A Comparative Analysis,” </w:t>
      </w:r>
      <w:r w:rsidRPr="007A4584">
        <w:rPr>
          <w:rFonts w:ascii="Times New Roman" w:hAnsi="Times New Roman"/>
          <w:i/>
          <w:noProof/>
          <w:sz w:val="16"/>
          <w:szCs w:val="16"/>
        </w:rPr>
        <w:t>Religions</w:t>
      </w:r>
      <w:r w:rsidRPr="007A4584">
        <w:rPr>
          <w:rFonts w:ascii="Times New Roman" w:hAnsi="Times New Roman"/>
          <w:noProof/>
          <w:sz w:val="16"/>
          <w:szCs w:val="16"/>
        </w:rPr>
        <w:t>, 15.11 (2024), 1383.</w:t>
      </w:r>
      <w:r w:rsidRPr="007A4584">
        <w:rPr>
          <w:rFonts w:ascii="Times New Roman" w:hAnsi="Times New Roman"/>
          <w:sz w:val="16"/>
          <w:szCs w:val="16"/>
        </w:rPr>
        <w:fldChar w:fldCharType="end"/>
      </w:r>
    </w:p>
  </w:footnote>
  <w:footnote w:id="9">
    <w:p w14:paraId="6321024B" w14:textId="1790F2ED" w:rsidR="007C5CA5" w:rsidRPr="007A4584" w:rsidRDefault="007C5CA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{"citationItems":[{"id":"ITEM-1","itemData":{"author":[{"dropping-particle":"","family":"Syabani","given":"Mifna Ahmad","non-dropping-particle":"","parse-names":false,"suffix":""},{"dropping-particle":"","family":"Taufiqurahman","given":"M Asyam Thoriq","non-dropping-particle":"","parse-names":false,"suffix":""},{"dropping-particle":"","family":"Narendra","given":"Aryananda Febriyan","non-dropping-particle":"","parse-names":false,"suffix":""},{"dropping-particle":"","family":"Hamed","given":"Ashrofful","non-dropping-particle":"","parse-names":false,"suffix":""}],"container-title":"Sabda: Jurnal Sastra dan Bahasa","id":"ITEM-1","issue":"3","issued":{"date-parts":[["2023"]]},"title":"PENGARUH TEKNOLOGI DALAM PENINGKATAN KEMAMPUAN BAHASA INDONESIA DI ERA DIGITAL","type":"article-journal","volume":"2"},"uris":["http://www.mendeley.com/documents/?uuid=bdf4374e-4893-4a47-a8a8-e1a3c0b4cddd"]}],"mendeley":{"formattedCitation":"Mifna Ahmad Syabani et al., “PENGARUH TEKNOLOGI DALAM PENINGKATAN KEMAMPUAN BAHASA INDONESIA DI ERA DIGITAL,” &lt;i&gt;Sabda: Jurnal Sastra dan Bahasa&lt;/i&gt;, 2.3 (2023).","plainTextFormattedCitation":"Mifna Ahmad Syabani et al., “PENGARUH TEKNOLOGI DALAM PENINGKATAN KEMAMPUAN BAHASA INDONESIA DI ERA DIGITAL,” Sabda: Jurnal Sastra dan Bahasa, 2.3 (2023).","previouslyFormattedCitation":"Mifna Ahmad Syabani et al., “PENGARUH TEKNOLOGI DALAM PENINGKATAN KEMAMPUAN BAHASA INDONESIA DI ERA DIGITAL,” &lt;i&gt;Sabda: Jurnal Sastra dan Bahasa&lt;/i&gt;, 2.3 (2023)."},"properties":{"noteIndex":9},"schema":"https://github.com/citation-style-language/schema/raw/master/csl-citation.json"}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Mifna Ahmad Syabani et al., “PENGARUH TEKNOLOGI DALAM PENINGKATAN KEMAMPUAN BAHASA INDONESIA DI ERA DIGITAL,” </w:t>
      </w:r>
      <w:r w:rsidRPr="007A4584">
        <w:rPr>
          <w:rFonts w:ascii="Times New Roman" w:hAnsi="Times New Roman"/>
          <w:i/>
          <w:noProof/>
          <w:sz w:val="16"/>
          <w:szCs w:val="16"/>
        </w:rPr>
        <w:t>Sabda: Jurnal Sastra dan Bahasa</w:t>
      </w:r>
      <w:r w:rsidRPr="007A4584">
        <w:rPr>
          <w:rFonts w:ascii="Times New Roman" w:hAnsi="Times New Roman"/>
          <w:noProof/>
          <w:sz w:val="16"/>
          <w:szCs w:val="16"/>
        </w:rPr>
        <w:t>, 2.3 (2023).</w:t>
      </w:r>
      <w:r w:rsidRPr="007A4584">
        <w:rPr>
          <w:rFonts w:ascii="Times New Roman" w:hAnsi="Times New Roman"/>
          <w:sz w:val="16"/>
          <w:szCs w:val="16"/>
        </w:rPr>
        <w:fldChar w:fldCharType="end"/>
      </w:r>
    </w:p>
  </w:footnote>
  <w:footnote w:id="10">
    <w:p w14:paraId="3478A515" w14:textId="191BF6FA" w:rsidR="007C5CA5" w:rsidRPr="007A4584" w:rsidRDefault="007C5CA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00200B37" w:rsidRPr="007A4584">
        <w:rPr>
          <w:rFonts w:ascii="Times New Roman" w:hAnsi="Times New Roman"/>
          <w:sz w:val="16"/>
          <w:szCs w:val="16"/>
        </w:rPr>
        <w:instrText>ADDIN CSL_CITATION {"citationItems":[{"id":"ITEM-1","itemData":{"ISSN":"2549-6433","author":[{"dropping-particle":"","family":"Saftri","given":"Eka","non-dropping-particle":"","parse-names":false,"suffix":""},{"dropping-particle":"","family":"Sa’dudin","given":"Ihsan","non-dropping-particle":"","parse-names":false,"suffix":""}],"container-title":"Tadrib","id":"ITEM-1","issue":"1","issued":{"date-parts":[["2019"]]},"page":"122-137","publisher":"Raden Fatah State Islamic University Palembang","title":"Aplikasi Integrasi Interkoneksi Keilmuan Di Lembaga Pendidikan Tinggi","type":"article-journal","volume":"5"},"uris":["http://www.mendeley.com/documents/?uuid=affb608f-ef29-4d2f-8f69-d3a40529d6dc"]}],"mendeley":{"formattedCitation":"Eka Saftri dan Ihsan Sa’dudin, “Aplikasi Integrasi Interkoneksi Keilmuan Di Lembaga Pendidikan Tinggi,” &lt;i&gt;Tadrib&lt;/i&gt;, 5.1 (2019), 122–37.","plainTextFormattedCitation":"Eka Saftri dan Ihsan Sa’dudin, “Aplikasi Integrasi Interkoneksi Keilmuan Di Lembaga Pendidikan Tinggi,” Tadrib, 5.1 (2019), 122–37.","previouslyFormattedCitation":"Eka Saftri dan Ihsan Sa’dudin, “Aplikasi Integrasi Interkoneksi Keilmuan Di Lembaga Pendidikan Tinggi,” &lt;i&gt;Tadrib&lt;/i&gt;, 5.1 (2019), 122–37."},"properties":{"noteIndex":10},"schema":"https://github.com/citation-style-language/schema/raw/master/csl-citation.json"}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Eka Saftri dan Ihsan Sa’dudin, “Aplikasi Integrasi Interkoneksi Keilmuan Di Lembaga Pendidikan Tinggi,” </w:t>
      </w:r>
      <w:r w:rsidRPr="007A4584">
        <w:rPr>
          <w:rFonts w:ascii="Times New Roman" w:hAnsi="Times New Roman"/>
          <w:i/>
          <w:noProof/>
          <w:sz w:val="16"/>
          <w:szCs w:val="16"/>
        </w:rPr>
        <w:t>Tadrib</w:t>
      </w:r>
      <w:r w:rsidRPr="007A4584">
        <w:rPr>
          <w:rFonts w:ascii="Times New Roman" w:hAnsi="Times New Roman"/>
          <w:noProof/>
          <w:sz w:val="16"/>
          <w:szCs w:val="16"/>
        </w:rPr>
        <w:t>, 5.1 (2019), 122–37.</w:t>
      </w:r>
      <w:r w:rsidRPr="007A4584">
        <w:rPr>
          <w:rFonts w:ascii="Times New Roman" w:hAnsi="Times New Roman"/>
          <w:sz w:val="16"/>
          <w:szCs w:val="16"/>
        </w:rPr>
        <w:fldChar w:fldCharType="end"/>
      </w:r>
    </w:p>
  </w:footnote>
  <w:footnote w:id="11">
    <w:p w14:paraId="28B5D2B6" w14:textId="6AA505CF" w:rsidR="001B75A9" w:rsidRPr="007A4584" w:rsidRDefault="001B75A9"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{"citationItems":[{"id":"ITEM-1","itemData":{"ISSN":"2775-8672","author":[{"dropping-particle":"","family":"Dewi","given":"Yeni Satroma","non-dropping-particle":"","parse-names":false,"suffix":""},{"dropping-particle":"","family":"Yelliza","given":"Merri","non-dropping-particle":"","parse-names":false,"suffix":""}],"container-title":"Indonesian Research Journal on Education","id":"ITEM-1","issue":"4","issued":{"date-parts":[["2024"]]},"page":"1484-1491","title":"Peran Bimbingan dan Konseling dalam Menerapkan Terapi Dzikir untuk Pemulihan Trauma Akibat Luka Batin","type":"article-journal","volume":"4"},"uris":["http://www.mendeley.com/documents/?uuid=fd66c9c7-911f-4fd2-9e48-642a924ed18f"]}],"mendeley":{"formattedCitation":"Yeni Satroma Dewi dan Merri Yelliza, “Peran Bimbingan dan Konseling dalam Menerapkan Terapi Dzikir untuk Pemulihan Trauma Akibat Luka Batin,” &lt;i&gt;Indonesian Research Journal on Education&lt;/i&gt;, 4.4 (2024), 1484–91.","plainTextFormattedCitation":"Yeni Satroma Dewi dan Merri Yelliza, “Peran Bimbingan dan Konseling dalam Menerapkan Terapi Dzikir untuk Pemulihan Trauma Akibat Luka Batin,” Indonesian Research Journal on Education, 4.4 (2024), 1484–91.","previouslyFormattedCitation":"Yeni Satroma Dewi dan Merri Yelliza, “Peran Bimbingan dan Konseling dalam Menerapkan Terapi Dzikir untuk Pemulihan Trauma Akibat Luka Batin,” &lt;i&gt;Indonesian Research Journal on Education&lt;/i&gt;, 4.4 (2024), 1484–91."},"properties":{"noteIndex":11},"schema":"https://github.com/citation-style-language/schema/raw/master/csl-citation.json"}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Yeni Satroma Dewi dan Merri Yelliza, “Peran Bimbingan dan Konseling dalam Menerapkan Terapi Dzikir untuk Pemulihan Trauma Akibat Luka Batin,” </w:t>
      </w:r>
      <w:r w:rsidRPr="007A4584">
        <w:rPr>
          <w:rFonts w:ascii="Times New Roman" w:hAnsi="Times New Roman"/>
          <w:i/>
          <w:noProof/>
          <w:sz w:val="16"/>
          <w:szCs w:val="16"/>
        </w:rPr>
        <w:t>Indonesian Research Journal on Education</w:t>
      </w:r>
      <w:r w:rsidRPr="007A4584">
        <w:rPr>
          <w:rFonts w:ascii="Times New Roman" w:hAnsi="Times New Roman"/>
          <w:noProof/>
          <w:sz w:val="16"/>
          <w:szCs w:val="16"/>
        </w:rPr>
        <w:t>, 4.4 (2024), 1484–91.</w:t>
      </w:r>
      <w:r w:rsidRPr="007A4584">
        <w:rPr>
          <w:rFonts w:ascii="Times New Roman" w:hAnsi="Times New Roman"/>
          <w:sz w:val="16"/>
          <w:szCs w:val="16"/>
        </w:rPr>
        <w:fldChar w:fldCharType="end"/>
      </w:r>
    </w:p>
  </w:footnote>
  <w:footnote w:id="12">
    <w:p w14:paraId="1911E595" w14:textId="753ABC1A" w:rsidR="001B75A9" w:rsidRPr="007A4584" w:rsidRDefault="001B75A9"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00E23E45" w:rsidRPr="007A4584">
        <w:rPr>
          <w:rFonts w:ascii="Times New Roman" w:hAnsi="Times New Roman"/>
          <w:sz w:val="16"/>
          <w:szCs w:val="16"/>
        </w:rPr>
        <w:instrText>ADDIN CSL_CITATION {"citationItems":[{"id":"ITEM-1","itemData":{"ISSN":"2548-4834","author":[{"dropping-particle":"","family":"Maulida","given":"Ratna Siti","non-dropping-particle":"","parse-names":false,"suffix":""},{"dropping-particle":"","family":"Fauziah","given":"Siti Syifa","non-dropping-particle":"","parse-names":false,"suffix":""},{"dropping-particle":"","family":"Muiz","given":"Rizqi Nurlaili","non-dropping-particle":"","parse-names":false,"suffix":""},{"dropping-particle":"","family":"Fauzi","given":"Anis","non-dropping-particle":"","parse-names":false,"suffix":""},{"dropping-particle":"","family":"Hidayat","given":"Wahyu","non-dropping-particle":"","parse-names":false,"suffix":""}],"container-title":"Jurnal Manajemen Pendidikan","id":"ITEM-1","issue":"3","issued":{"date-parts":[["2024"]]},"page":"296-304","title":"METODE PENELITIAN ILMIAH BERBASIS FILSAFAT ILMU","type":"article-journal","volume":"9"},"uris":["http://www.mendeley.com/documents/?uuid=1c62ca77-9068-46dc-8dd2-399d1df646c7"]}],"mendeley":{"formattedCitation":"Ratna Siti Maulida et al., “METODE PENELITIAN ILMIAH BERBASIS FILSAFAT ILMU,” &lt;i&gt;Jurnal Manajemen Pendidikan&lt;/i&gt;, 9.3 (2024), 296–304.","plainTextFormattedCitation":"Ratna Siti Maulida et al., “METODE PENELITIAN ILMIAH BERBASIS FILSAFAT ILMU,” Jurnal Manajemen Pendidikan, 9.3 (2024), 296–304.","previouslyFormattedCitation":"Ratna Siti Maulida et al., “METODE PENELITIAN ILMIAH BERBASIS FILSAFAT ILMU,” &lt;i&gt;Jurnal Manajemen Pendidikan&lt;/i&gt;, 9.3 (2024), 296–304."},"properties":{"noteIndex":12},"schema":"https://github.com/citation-style-language/schema/raw/master/csl-citation.json"}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Ratna Siti Maulida et al., “METODE PENELITIAN ILMIAH BERBASIS FILSAFAT ILMU,” </w:t>
      </w:r>
      <w:r w:rsidRPr="007A4584">
        <w:rPr>
          <w:rFonts w:ascii="Times New Roman" w:hAnsi="Times New Roman"/>
          <w:i/>
          <w:noProof/>
          <w:sz w:val="16"/>
          <w:szCs w:val="16"/>
        </w:rPr>
        <w:t>Jurnal Manajemen Pendidikan</w:t>
      </w:r>
      <w:r w:rsidRPr="007A4584">
        <w:rPr>
          <w:rFonts w:ascii="Times New Roman" w:hAnsi="Times New Roman"/>
          <w:noProof/>
          <w:sz w:val="16"/>
          <w:szCs w:val="16"/>
        </w:rPr>
        <w:t>, 9.3 (2024), 296–304.</w:t>
      </w:r>
      <w:r w:rsidRPr="007A4584">
        <w:rPr>
          <w:rFonts w:ascii="Times New Roman" w:hAnsi="Times New Roman"/>
          <w:sz w:val="16"/>
          <w:szCs w:val="16"/>
        </w:rPr>
        <w:fldChar w:fldCharType="end"/>
      </w:r>
    </w:p>
  </w:footnote>
  <w:footnote w:id="13">
    <w:p w14:paraId="611A61E5" w14:textId="3535E56F" w:rsidR="007A4584" w:rsidRPr="007A4584" w:rsidRDefault="007A4584"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Pr="007A4584">
        <w:rPr>
          <w:rFonts w:ascii="Times New Roman" w:hAnsi="Times New Roman"/>
          <w:sz w:val="16"/>
          <w:szCs w:val="16"/>
        </w:rPr>
        <w:instrText>ADDIN CSL_CITATION {"citationItems":[{"id":"ITEM-1","itemData":{"ISSN":"2723-3480","author":[{"dropping-particle":"","family":"Fajar","given":"Adam Hafidz","non-dropping-particle":"Al","parse-names":false,"suffix":""},{"dropping-particle":"","family":"Sholichah","given":"Hidayatus","non-dropping-particle":"","parse-names":false,"suffix":""},{"dropping-particle":"","family":"Mudfainna","given":"Mudfainna","non-dropping-particle":"","parse-names":false,"suffix":""},{"dropping-particle":"","family":"Rahma","given":"Rizka Anisa","non-dropping-particle":"","parse-names":false,"suffix":""},{"dropping-particle":"","family":"Agitsna","given":"Izza","non-dropping-particle":"","parse-names":false,"suffix":""}],"container-title":"Jurnal Paradigma","id":"ITEM-1","issue":"1","issued":{"date-parts":[["2024"]]},"page":"40-61","title":"The Role of Islamic Values in Sustainable Development Innovation to Support the SDGs in Rural Communities","type":"article-journal","volume":"16"},"uris":["http://www.mendeley.com/documents/?uuid=7d1eae4d-2f1a-4b5e-88ee-12d0ccc14ddf"]}],"mendeley":{"formattedCitation":"Adam Hafidz Al Fajar et al., “The Role of Islamic Values in Sustainable Development Innovation to Support the SDGs in Rural Communities,” &lt;i&gt;Jurnal Paradigma&lt;/i&gt;, 16.1 (2024), 40–61.","plainTextFormattedCitation":"Adam Hafidz Al Fajar et al., “The Role of Islamic Values in Sustainable Development Innovation to Support the SDGs in Rural Communities,” Jurnal Paradigma, 16.1 (2024), 40–61."},"properties":{"noteIndex":13},"schema":"https://github.com/citation-style-language/schema/raw/master/csl-citation.json"}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Adam Hafidz Al Fajar et al., “The Role of Islamic Values in Sustainable Development Innovation to Support the SDGs in Rural Communities,” </w:t>
      </w:r>
      <w:r w:rsidRPr="007A4584">
        <w:rPr>
          <w:rFonts w:ascii="Times New Roman" w:hAnsi="Times New Roman"/>
          <w:i/>
          <w:noProof/>
          <w:sz w:val="16"/>
          <w:szCs w:val="16"/>
        </w:rPr>
        <w:t>Jurnal Paradigma</w:t>
      </w:r>
      <w:r w:rsidRPr="007A4584">
        <w:rPr>
          <w:rFonts w:ascii="Times New Roman" w:hAnsi="Times New Roman"/>
          <w:noProof/>
          <w:sz w:val="16"/>
          <w:szCs w:val="16"/>
        </w:rPr>
        <w:t>, 16.1 (2024), 40–61.</w:t>
      </w:r>
      <w:r w:rsidRPr="007A4584">
        <w:rPr>
          <w:rFonts w:ascii="Times New Roman" w:hAnsi="Times New Roman"/>
          <w:sz w:val="16"/>
          <w:szCs w:val="16"/>
        </w:rPr>
        <w:fldChar w:fldCharType="end"/>
      </w:r>
    </w:p>
  </w:footnote>
  <w:footnote w:id="14">
    <w:p w14:paraId="1FD35308" w14:textId="40EF87F7" w:rsidR="00E23E45" w:rsidRPr="007A4584" w:rsidRDefault="00E23E4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007A4584" w:rsidRPr="007A4584">
        <w:rPr>
          <w:rFonts w:ascii="Times New Roman" w:hAnsi="Times New Roman"/>
          <w:sz w:val="16"/>
          <w:szCs w:val="16"/>
        </w:rPr>
        <w:instrText>ADDIN CSL_CITATION {"citationItems":[{"id":"ITEM-1","itemData":{"author":[{"dropping-particle":"","family":"Creswell","given":"J. W.","non-dropping-particle":"","parse-names":false,"suffix":""}],"container-title":"Pustaka Belajar","id":"ITEM-1","issued":{"date-parts":[["2015"]]},"publisher-place":"Yogyakarta","title":"Research design, Pendekatan kualitatif, kuantitatif, dan mixed edisi ketiga. Alih Bahasa: Achmad Fawaid.","type":"chapter"},"uris":["http://www.mendeley.com/documents/?uuid=1030be97-e50e-4b3f-9227-ff2c47d0fe50"]}],"mendeley":{"formattedCitation":"J. W. Creswell, “Research design, Pendekatan kualitatif, kuantitatif, dan mixed edisi ketiga. Alih Bahasa: Achmad Fawaid.,” in &lt;i&gt;Pustaka Belajar&lt;/i&gt; (Yogyakarta, 2015).","plainTextFormattedCitation":"J. W. Creswell, “Research design, Pendekatan kualitatif, kuantitatif, dan mixed edisi ketiga. Alih Bahasa: Achmad Fawaid.,” in Pustaka Belajar (Yogyakarta, 2015).","previouslyFormattedCitation":"J. W. Creswell, “Research design, Pendekatan kualitatif, kuantitatif, dan mixed edisi ketiga. Alih Bahasa: Achmad Fawaid.,” in &lt;i&gt;Pustaka Belajar&lt;/i&gt; (Yogyakarta, 2015)."},"properties":{"noteIndex":14},"schema":"https://github.com/citation-style-language/schema/raw/master/csl-citation.json"}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J. W. Creswell, “Research design, Pendekatan kualitatif, kuantitatif, dan mixed edisi ketiga. Alih Bahasa: Achmad Fawaid.,” in </w:t>
      </w:r>
      <w:r w:rsidRPr="007A4584">
        <w:rPr>
          <w:rFonts w:ascii="Times New Roman" w:hAnsi="Times New Roman"/>
          <w:i/>
          <w:noProof/>
          <w:sz w:val="16"/>
          <w:szCs w:val="16"/>
        </w:rPr>
        <w:t>Pustaka Belajar</w:t>
      </w:r>
      <w:r w:rsidRPr="007A4584">
        <w:rPr>
          <w:rFonts w:ascii="Times New Roman" w:hAnsi="Times New Roman"/>
          <w:noProof/>
          <w:sz w:val="16"/>
          <w:szCs w:val="16"/>
        </w:rPr>
        <w:t xml:space="preserve"> (Yogyakarta, 2015).</w:t>
      </w:r>
      <w:r w:rsidRPr="007A4584">
        <w:rPr>
          <w:rFonts w:ascii="Times New Roman" w:hAnsi="Times New Roman"/>
          <w:sz w:val="16"/>
          <w:szCs w:val="16"/>
        </w:rPr>
        <w:fldChar w:fldCharType="end"/>
      </w:r>
    </w:p>
  </w:footnote>
  <w:footnote w:id="15">
    <w:p w14:paraId="4B154291" w14:textId="00152449"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007A4584" w:rsidRPr="007A4584">
        <w:rPr>
          <w:rFonts w:ascii="Times New Roman" w:hAnsi="Times New Roman"/>
          <w:sz w:val="16"/>
          <w:szCs w:val="16"/>
        </w:rPr>
        <w:instrText>ADDIN CSL_CITATION {"citationItems":[{"id":"ITEM-1","itemData":{"abstract":"Pertanyaan pokok yang harus dicari jawabannya adalah apakah filsafat itu. Tentu Anda sendiri sering mendengar bahkan menggunakan kata filsafat. Perlu Anda ketahui bahwa telah banyak para ahli filsafat yang memberikan pengertian dan definisi tentang filsafat. Akan tetapi, terdapat keragaman dalam memberikan pengertian dan merumuskan definisi tersebut. Hal ini terjadi karena masing-masing ahli filsafat atau filsuf itu mempunyai konsep yang berbeda dengan filsuf yang lain dan memiliki dasar pemikiran dan pandangan yang berbeda pula. Anda perlu memahami perbedaan tersebut dengan seksama untuk memperoleh wawasan pengetahuan yang luas dan mendalam. Perlu Anda ketahui bahwa kata filsafat berasal dari kata Yunani, yaitu philosophia, terdiri dari kata philos yang berarti cinta atau sahabat dan kata sophia yang berarti kebijaksanaan, kearifan atau pengetahuan. Jadi, philosophia berarti cinta pada kebijaksanaan atau cinta pada kebenaran, dalam hal ini kebenaran ilmu pengetahuan. Dalam kegiatan belajar ini, selanjutnya Anda akan diajak untuk memahami pengertian filsafat dengan cara memahami apa yang dilakukan oleh para filsuf itu.","author":[{"dropping-particle":"","family":"Poedjiadi","given":"Anna","non-dropping-particle":"","parse-names":false,"suffix":""},{"dropping-particle":"","family":"dan Al Muchtar","given":"Suwarma","non-dropping-particle":"","parse-names":false,"suffix":""}],"container-title":"Repository UT","id":"ITEM-1","issued":{"date-parts":[["2014"]]},"page":"1-29","title":"Modul Pengertian Filsafat","type":"article-journal"},"uris":["http://www.mendeley.com/documents/?uuid=28abb55b-f4ad-41de-afd5-11ebe036f091","http://www.mendeley.com/documents/?uuid=57a71934-fa57-4fb7-affd-063f95b58d24"]}],"mendeley":{"formattedCitation":"Anna Poedjiadi dan Suwarma dan Al Muchtar, “Modul Pengertian Filsafat,” &lt;i&gt;Repository UT&lt;/i&gt;, 2014, 1–29.","plainTextFormattedCitation":"Anna Poedjiadi dan Suwarma dan Al Muchtar, “Modul Pengertian Filsafat,” Repository UT, 2014, 1–29.","previouslyFormattedCitation":"Anna Poedjiadi dan Suwarma dan Al Muchtar, “Modul Pengertian Filsafat,” &lt;i&gt;Repository UT&lt;/i&gt;, 2014, 1–29."},"properties":{"noteIndex":15},"schema":"https://github.com/citation-style-language/schema/raw/master/csl-citation.json"}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Anna Poedjiadi dan Suwarma dan Al Muchtar, “Modul Pengertian Filsafat,” </w:t>
      </w:r>
      <w:r w:rsidRPr="007A4584">
        <w:rPr>
          <w:rFonts w:ascii="Times New Roman" w:hAnsi="Times New Roman"/>
          <w:i/>
          <w:noProof/>
          <w:sz w:val="16"/>
          <w:szCs w:val="16"/>
        </w:rPr>
        <w:t>Repository UT</w:t>
      </w:r>
      <w:r w:rsidRPr="007A4584">
        <w:rPr>
          <w:rFonts w:ascii="Times New Roman" w:hAnsi="Times New Roman"/>
          <w:noProof/>
          <w:sz w:val="16"/>
          <w:szCs w:val="16"/>
        </w:rPr>
        <w:t>, 2014, 1–29.</w:t>
      </w:r>
      <w:r w:rsidRPr="007A4584">
        <w:rPr>
          <w:rFonts w:ascii="Times New Roman" w:hAnsi="Times New Roman"/>
          <w:sz w:val="16"/>
          <w:szCs w:val="16"/>
        </w:rPr>
        <w:fldChar w:fldCharType="end"/>
      </w:r>
    </w:p>
  </w:footnote>
  <w:footnote w:id="16">
    <w:p w14:paraId="096A423D" w14:textId="041EAB03"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{"citationID":"WCO3En2r","properties":{"formattedCitation":"Prof Dr Ir Drs H. M. Guntoro M.Si MM, {\\i{}FILSAFAT ILMU Bagi Program Magister/Pascasarjana} (Penerbit K-Media, n.d.), hlm. 30.","plainCitation":"Prof Dr Ir Drs H. M. Guntoro M.Si MM, FILSAFAT ILMU Bagi Program Magister/Pascasarjana (Penerbit K-Media, n.d.), hlm. 30.","noteIndex":1},"citationItems":[{"id":30,"uris":["http://zotero.org/users/local/ovBrhPsj/items/YU2SAIRP"],"itemData":{"id":30,"type":"book","abstract":"Filsafat ilmu merupakan ‘induk’ dari ilmu pengetahuan yang mendasari logika, bahasa, dan matematika. Filsafat ilmu merupakan mata kuliah yang wajib bagi program Magister. Bagi mahasiswa program sarjana, filsafat ilmu diperlukan agar memiliki wawasan mendasar mengenai ilmu pengetahuan.","ISBN":"9786231740694","language":"id","note":"Google-Books-ID: 2Y2tEAAAQBAJ","number-of-pages":"70","publisher":"Penerbit K-Media","source":"Google Books","title":"FILSAFAT ILMU Bagi Program Magister/Pascasarjana","author":[{"family":"M.Si","given":"Prof Dr Ir Drs H. M. Guntoro","suffix":"MM"}]},"locator":"hlm. 30","label":"page"}],"schema":"https://github.com/citation-style-language/schema/raw/master/csl-citation.json"} </w:instrText>
      </w:r>
      <w:r w:rsidRPr="007A4584">
        <w:rPr>
          <w:rFonts w:ascii="Times New Roman" w:hAnsi="Times New Roman"/>
          <w:sz w:val="16"/>
          <w:szCs w:val="16"/>
        </w:rPr>
        <w:fldChar w:fldCharType="separate"/>
      </w:r>
      <w:r w:rsidR="00DB1ED2">
        <w:rPr>
          <w:rFonts w:ascii="Times New Roman" w:hAnsi="Times New Roman"/>
          <w:sz w:val="16"/>
          <w:szCs w:val="16"/>
        </w:rPr>
        <w:t xml:space="preserve"> </w:t>
      </w:r>
      <w:proofErr w:type="gramStart"/>
      <w:r w:rsidRPr="007A4584">
        <w:rPr>
          <w:rFonts w:ascii="Times New Roman" w:hAnsi="Times New Roman"/>
          <w:sz w:val="16"/>
          <w:szCs w:val="16"/>
        </w:rPr>
        <w:t>Guntoro</w:t>
      </w:r>
      <w:r w:rsidR="00DB1ED2">
        <w:rPr>
          <w:rFonts w:ascii="Times New Roman" w:hAnsi="Times New Roman"/>
          <w:sz w:val="16"/>
          <w:szCs w:val="16"/>
        </w:rPr>
        <w:t>.</w:t>
      </w:r>
      <w:proofErr w:type="gramEnd"/>
      <w:r w:rsidRPr="007A4584">
        <w:rPr>
          <w:rFonts w:ascii="Times New Roman" w:hAnsi="Times New Roman"/>
          <w:sz w:val="16"/>
          <w:szCs w:val="16"/>
        </w:rPr>
        <w:t xml:space="preserve"> </w:t>
      </w:r>
      <w:proofErr w:type="gramStart"/>
      <w:r w:rsidRPr="007A4584">
        <w:rPr>
          <w:rFonts w:ascii="Times New Roman" w:hAnsi="Times New Roman"/>
          <w:i/>
          <w:iCs/>
          <w:sz w:val="16"/>
          <w:szCs w:val="16"/>
        </w:rPr>
        <w:t>FILSAFAT ILMU Bagi Program Magister/Pascasarjana</w:t>
      </w:r>
      <w:r w:rsidRPr="007A4584">
        <w:rPr>
          <w:rFonts w:ascii="Times New Roman" w:hAnsi="Times New Roman"/>
          <w:sz w:val="16"/>
          <w:szCs w:val="16"/>
        </w:rPr>
        <w:t xml:space="preserve"> (Penerbit K-Media, n.d.), hlm.</w:t>
      </w:r>
      <w:proofErr w:type="gramEnd"/>
      <w:r w:rsidRPr="007A4584">
        <w:rPr>
          <w:rFonts w:ascii="Times New Roman" w:hAnsi="Times New Roman"/>
          <w:sz w:val="16"/>
          <w:szCs w:val="16"/>
        </w:rPr>
        <w:t xml:space="preserve"> 30.</w:t>
      </w:r>
      <w:r w:rsidRPr="007A4584">
        <w:rPr>
          <w:rFonts w:ascii="Times New Roman" w:hAnsi="Times New Roman"/>
          <w:sz w:val="16"/>
          <w:szCs w:val="16"/>
        </w:rPr>
        <w:fldChar w:fldCharType="end"/>
      </w:r>
    </w:p>
  </w:footnote>
  <w:footnote w:id="17">
    <w:p w14:paraId="14852946" w14:textId="043B44D3" w:rsidR="00EF3186" w:rsidRPr="007A4584" w:rsidRDefault="00EF3186"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fldLock="1"/>
      </w:r>
      <w:r w:rsidR="007A4584" w:rsidRPr="007A4584">
        <w:rPr>
          <w:rFonts w:ascii="Times New Roman" w:hAnsi="Times New Roman"/>
          <w:sz w:val="16"/>
          <w:szCs w:val="16"/>
        </w:rPr>
        <w:instrText>ADDIN CSL_CITATION {"citationItems":[{"id":"ITEM-1","itemData":{"abstract":"Dalam mempelajari ilmu filsafat, sepertinya tidaklah sempurna apabila melewatkan study mengenai ilmu logika.","author":[{"dropping-particle":"","family":"Putra Perdana","given":"Martin","non-dropping-particle":"","parse-names":false,"suffix":""},{"dropping-particle":"","family":"Muslih","given":"Mohammad","non-dropping-particle":"","parse-names":false,"suffix":""}],"container-title":"Prosiding Konferensi Integrasi Interkoneksi Islam Dan Sains","id":"ITEM-1","issued":{"date-parts":[["2021"]]},"page":"147-155","title":"Logika Sebagai Landasan Berpikir Dan Berilmu Pengetahuan","type":"article-journal","volume":"3"},"uris":["http://www.mendeley.com/documents/?uuid=eb6a0a54-3b92-4ea7-a21a-afe97ff8c702","http://www.mendeley.com/documents/?uuid=bec03db3-901d-48a0-8e6b-8c2d97715358"]}],"mendeley":{"formattedCitation":"Martin Putra Perdana dan Mohammad Muslih, “Logika Sebagai Landasan Berpikir Dan Berilmu Pengetahuan,” &lt;i&gt;Prosiding Konferensi Integrasi Interkoneksi Islam Dan Sains&lt;/i&gt;, 3 (2021), 147–55.","plainTextFormattedCitation":"Martin Putra Perdana dan Mohammad Muslih, “Logika Sebagai Landasan Berpikir Dan Berilmu Pengetahuan,” Prosiding Konferensi Integrasi Interkoneksi Islam Dan Sains, 3 (2021), 147–55.","previouslyFormattedCitation":"Martin Putra Perdana dan Mohammad Muslih, “Logika Sebagai Landasan Berpikir Dan Berilmu Pengetahuan,” &lt;i&gt;Prosiding Konferensi Integrasi Interkoneksi Islam Dan Sains&lt;/i&gt;, 3 (2021), 147–55."},"properties":{"noteIndex":17},"schema":"https://github.com/citation-style-language/schema/raw/master/csl-citation.json"}</w:instrText>
      </w:r>
      <w:r w:rsidRPr="007A4584">
        <w:rPr>
          <w:rFonts w:ascii="Times New Roman" w:hAnsi="Times New Roman"/>
          <w:sz w:val="16"/>
          <w:szCs w:val="16"/>
        </w:rPr>
        <w:fldChar w:fldCharType="separate"/>
      </w:r>
      <w:r w:rsidRPr="007A4584">
        <w:rPr>
          <w:rFonts w:ascii="Times New Roman" w:hAnsi="Times New Roman"/>
          <w:noProof/>
          <w:sz w:val="16"/>
          <w:szCs w:val="16"/>
        </w:rPr>
        <w:t xml:space="preserve">Martin Putra Perdana dan Mohammad Muslih, “Logika Sebagai Landasan Berpikir Dan Berilmu Pengetahuan,” </w:t>
      </w:r>
      <w:r w:rsidRPr="007A4584">
        <w:rPr>
          <w:rFonts w:ascii="Times New Roman" w:hAnsi="Times New Roman"/>
          <w:i/>
          <w:noProof/>
          <w:sz w:val="16"/>
          <w:szCs w:val="16"/>
        </w:rPr>
        <w:t>Prosiding Konferensi Integrasi Interkoneksi Islam Dan Sains</w:t>
      </w:r>
      <w:r w:rsidRPr="007A4584">
        <w:rPr>
          <w:rFonts w:ascii="Times New Roman" w:hAnsi="Times New Roman"/>
          <w:noProof/>
          <w:sz w:val="16"/>
          <w:szCs w:val="16"/>
        </w:rPr>
        <w:t>, 3 (2021), 147–55.</w:t>
      </w:r>
      <w:r w:rsidRPr="007A4584">
        <w:rPr>
          <w:rFonts w:ascii="Times New Roman" w:hAnsi="Times New Roman"/>
          <w:sz w:val="16"/>
          <w:szCs w:val="16"/>
        </w:rPr>
        <w:fldChar w:fldCharType="end"/>
      </w:r>
    </w:p>
  </w:footnote>
  <w:footnote w:id="18">
    <w:p w14:paraId="4753D2CC"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{"citationID":"PeXYXTQV","properties":{"formattedCitation":"Muhamad Rakhmat, \\uc0\\u8220{}Buku: Pengantar Logika Dasar,\\uc0\\u8221{} {\\i{}Repository Buku Dan Jurnal} 1, no. 1 (2017): hlm. 12, https://www.unma.ac.id/jurnal/index.php/RBJ/article/download/528/492.","plainCitation":"Muhamad Rakhmat, “Buku: Pengantar Logika Dasar,” Repository Buku Dan Jurnal 1, no. 1 (2017): hlm. 12, https://www.unma.ac.id/jurnal/index.php/RBJ/article/download/528/492.","noteIndex":2},"citationItems":[{"id":32,"uris":["http://zotero.org/users/local/ovBrhPsj/items/WI4XFELT"],"itemData":{"id":32,"type":"article-journal","container-title":"Repository Buku Dan Jurnal","issue":"1","source":"Google Scholar","title":"Buku: Pengantar Logika Dasar","title-short":"Buku","URL":"https://www.unma.ac.id/jurnal/index.php/RBJ/article/download/528/492","volume":"1","author":[{"family":"Rakhmat","given":"Muhamad"}],"accessed":{"date-parts":[["2023",9,24]]},"issued":{"date-parts":[["2017"]]}},"locator":"hlm. 12","label":"page"}],"schema":"https://github.com/citation-style-language/schema/raw/master/csl-citation.json"} </w:instrText>
      </w:r>
      <w:r w:rsidRPr="007A4584">
        <w:rPr>
          <w:rFonts w:ascii="Times New Roman" w:hAnsi="Times New Roman"/>
          <w:sz w:val="16"/>
          <w:szCs w:val="16"/>
        </w:rPr>
        <w:fldChar w:fldCharType="separate"/>
      </w:r>
      <w:r w:rsidRPr="007A4584">
        <w:rPr>
          <w:rFonts w:ascii="Times New Roman" w:hAnsi="Times New Roman"/>
          <w:sz w:val="16"/>
          <w:szCs w:val="16"/>
        </w:rPr>
        <w:t xml:space="preserve">Muhamad Rakhmat, “Buku: Pengantar Logika Dasar,” </w:t>
      </w:r>
      <w:r w:rsidRPr="007A4584">
        <w:rPr>
          <w:rFonts w:ascii="Times New Roman" w:hAnsi="Times New Roman"/>
          <w:i/>
          <w:iCs/>
          <w:sz w:val="16"/>
          <w:szCs w:val="16"/>
        </w:rPr>
        <w:t>Repository Buku Dan Jurnal</w:t>
      </w:r>
      <w:r w:rsidRPr="007A4584">
        <w:rPr>
          <w:rFonts w:ascii="Times New Roman" w:hAnsi="Times New Roman"/>
          <w:sz w:val="16"/>
          <w:szCs w:val="16"/>
        </w:rPr>
        <w:t xml:space="preserve"> 1, no. 1 (2017): hlm. </w:t>
      </w:r>
      <w:proofErr w:type="gramStart"/>
      <w:r w:rsidRPr="007A4584">
        <w:rPr>
          <w:rFonts w:ascii="Times New Roman" w:hAnsi="Times New Roman"/>
          <w:sz w:val="16"/>
          <w:szCs w:val="16"/>
        </w:rPr>
        <w:t>12, https://www.unma.ac.id/jurnal/index.php/RBJ/article/download/528/492.</w:t>
      </w:r>
      <w:proofErr w:type="gramEnd"/>
      <w:r w:rsidRPr="007A4584">
        <w:rPr>
          <w:rFonts w:ascii="Times New Roman" w:hAnsi="Times New Roman"/>
          <w:sz w:val="16"/>
          <w:szCs w:val="16"/>
        </w:rPr>
        <w:fldChar w:fldCharType="end"/>
      </w:r>
    </w:p>
  </w:footnote>
  <w:footnote w:id="19">
    <w:p w14:paraId="75CABBA4"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{"citationID":"CLCHtDTp","properties":{"formattedCitation":"Hengki Irawan Setia Budi, {\\i{}Pengantar Logika Teologi: Telaah Praktis Logika dalam Teologi} (Garudhawaca, 2021), hlm. 7-8.","plainCitation":"Hengki Irawan Setia Budi, Pengantar Logika Teologi: Telaah Praktis Logika dalam Teologi (Garudhawaca, 2021), hlm. 7-8.","noteIndex":3},"citationItems":[{"id":21,"uris":["http://zotero.org/users/local/ovBrhPsj/items/A57GM54D"],"itemData":{"id":21,"type":"book","abstract":"Belajar ilmu logika sungguh menyasyikkan. Manusa diberikan otak kecerdasan dan berkhikmat oleh Tuhan, dipergunakan dengan sebaik mungkin dalam proses berpikir, menganalisa, menyimpulkan dan bertindak. Belajar ilmu logika adalah menemukan kedalaman berpikir lurus, valid dan koheren. Mengkaji setiap informasi baik berupa peristiwa, teks dan konteks. Buku ini tidak hanya menyajikan teori-teori tentang ilmu logika, namun aplikasinya dalam keseharian khususnya menelaah dalam proses penafsiran dalam ilmu teologi. Bukan berarti melogikakan teologi, melainkan mencoba menafsirkan dengan penalaran yang benar dari teks maupun konteks yang disajikan dalam Alkitab. Materi pembahasannya simpel, mudah dimengerti. Buku ini dipergunakan oleh jajaran akademisi, baik pengajar maupun mahasiswa sebagai buku pegangan pengantar logika khususnya bagi akademisi teologi. Isi buku membahas tentang pengertian logika, premis, proposisi, silogisme, argumen, sebab-akibat, kesalahan berlogika, berpikir kritis, berpikir benar, berpikir kreatif, mengambil keputusan dan sebagainya.Penerbit Garudhawaca.","ISBN":"9786234220018","language":"id","note":"Google-Books-ID: 9tpVEAAAQBAJ","number-of-pages":"217","publisher":"Garudhawaca","source":"Google Books","title":"Pengantar Logika Teologi: Telaah Praktis Logika dalam Teologi","title-short":"Pengantar Logika Teologi","author":[{"family":"Budi","given":"Hengki Irawan Setia"}],"issued":{"date-parts":[["2021",12,15]]}},"locator":"hlm. 7-8","label":"page"}],"schema":"https://github.com/citation-style-language/schema/raw/master/csl-citation.json"} </w:instrText>
      </w:r>
      <w:r w:rsidRPr="007A4584">
        <w:rPr>
          <w:rFonts w:ascii="Times New Roman" w:hAnsi="Times New Roman"/>
          <w:sz w:val="16"/>
          <w:szCs w:val="16"/>
        </w:rPr>
        <w:fldChar w:fldCharType="separate"/>
      </w:r>
      <w:r w:rsidRPr="007A4584">
        <w:rPr>
          <w:rFonts w:ascii="Times New Roman" w:hAnsi="Times New Roman"/>
          <w:sz w:val="16"/>
          <w:szCs w:val="16"/>
        </w:rPr>
        <w:t xml:space="preserve">Hengki Irawan Setia Budi, </w:t>
      </w:r>
      <w:r w:rsidRPr="007A4584">
        <w:rPr>
          <w:rFonts w:ascii="Times New Roman" w:hAnsi="Times New Roman"/>
          <w:i/>
          <w:iCs/>
          <w:sz w:val="16"/>
          <w:szCs w:val="16"/>
        </w:rPr>
        <w:t>Pengantar Logika Teologi: Telaah Praktis Logika dalam Teologi</w:t>
      </w:r>
      <w:r w:rsidRPr="007A4584">
        <w:rPr>
          <w:rFonts w:ascii="Times New Roman" w:hAnsi="Times New Roman"/>
          <w:sz w:val="16"/>
          <w:szCs w:val="16"/>
        </w:rPr>
        <w:t xml:space="preserve"> (Garudhawaca, 2021), hlm. 7-8.</w:t>
      </w:r>
      <w:r w:rsidRPr="007A4584">
        <w:rPr>
          <w:rFonts w:ascii="Times New Roman" w:hAnsi="Times New Roman"/>
          <w:sz w:val="16"/>
          <w:szCs w:val="16"/>
        </w:rPr>
        <w:fldChar w:fldCharType="end"/>
      </w:r>
    </w:p>
  </w:footnote>
  <w:footnote w:id="20">
    <w:p w14:paraId="7D8D731E"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{"citationID":"NwAVYQH8","properties":{"formattedCitation":"Amin Abdullah, {\\i{}Implementasi pendekatan integratif-interkonektiv dalam kajian pendikan Islam}, ed. H. Maragustam (Yogyakarta: Pascasarjana UIN Sunan Kalijaga, 2014).","plainCitation":"Amin Abdullah, Implementasi pendekatan integratif-interkonektiv dalam kajian pendikan Islam, ed. H. Maragustam (Yogyakarta: Pascasarjana UIN Sunan Kalijaga, 2014).","noteIndex":4},"citationItems":[{"id":6,"uris":["http://zotero.org/users/local/ovBrhPsj/items/7QWC6N4A"],"itemData":{"id":6,"type":"book","event-place":"Yogyakarta","ISBN":"978-602-72084-8-3","language":"id","number-of-pages":"232","publisher":"Pascasarjana UIN Sunan Kalijaga","publisher-place":"Yogyakarta","source":"K10plus ISBN","title":"Implementasi pendekatan integratif-interkonektiv dalam kajian pendikan Islam","editor":[{"family":"H. Maragustam","given":""}],"author":[{"family":"Amin Abdullah","given":""}],"issued":{"date-parts":[["2014"]]}}}],"schema":"https://github.com/citation-style-language/schema/raw/master/csl-citation.json"} </w:instrText>
      </w:r>
      <w:r w:rsidRPr="007A4584">
        <w:rPr>
          <w:rFonts w:ascii="Times New Roman" w:hAnsi="Times New Roman"/>
          <w:sz w:val="16"/>
          <w:szCs w:val="16"/>
        </w:rPr>
        <w:fldChar w:fldCharType="separate"/>
      </w:r>
      <w:r w:rsidRPr="007A4584">
        <w:rPr>
          <w:rFonts w:ascii="Times New Roman" w:hAnsi="Times New Roman"/>
          <w:sz w:val="16"/>
          <w:szCs w:val="16"/>
        </w:rPr>
        <w:t xml:space="preserve">Amin Abdullah, </w:t>
      </w:r>
      <w:r w:rsidRPr="007A4584">
        <w:rPr>
          <w:rFonts w:ascii="Times New Roman" w:hAnsi="Times New Roman"/>
          <w:i/>
          <w:iCs/>
          <w:sz w:val="16"/>
          <w:szCs w:val="16"/>
        </w:rPr>
        <w:t>Implementasi pendekatan integratif-interkonektiv dalam kajian pendikan Islam</w:t>
      </w:r>
      <w:r w:rsidRPr="007A4584">
        <w:rPr>
          <w:rFonts w:ascii="Times New Roman" w:hAnsi="Times New Roman"/>
          <w:sz w:val="16"/>
          <w:szCs w:val="16"/>
        </w:rPr>
        <w:t>, ed. H. Maragustam (Yogyakarta: Pascasarjana UIN Sunan Kalijaga, 2014).</w:t>
      </w:r>
      <w:r w:rsidRPr="007A4584">
        <w:rPr>
          <w:rFonts w:ascii="Times New Roman" w:hAnsi="Times New Roman"/>
          <w:sz w:val="16"/>
          <w:szCs w:val="16"/>
        </w:rPr>
        <w:fldChar w:fldCharType="end"/>
      </w:r>
    </w:p>
  </w:footnote>
  <w:footnote w:id="21">
    <w:p w14:paraId="36863F82"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{"citationID":"SMPysdPL","properties":{"formattedCitation":"M. Fuad Anwar, {\\i{}Landasan Bimbingan Dan Konseling Islam} (Deepublish, 2019), hlm. 15-16.","plainCitation":"M. Fuad Anwar, Landasan Bimbingan Dan Konseling Islam (Deepublish, 2019), hlm. 15-16.","noteIndex":4},"citationItems":[{"id":19,"uris":["http://zotero.org/users/local/ovBrhPsj/items/225K5SKV"],"itemData":{"id":19,"type":"book","abstract":"Buku ini ditulis bermaksud ingin mengungkapkan secara teoritis landasan bimbingan dan Konseling Islam. Yang meliputi Pengertian Bimbingan dan Konseling, Tujuan dan Bimbingan Konseling, fungsi bimbingan dan Konseling, pendekatan dalam Bimbingan dan Konseling. Rumusan konseling berkarakteristik Islam, yang meliputi Pengertian Konseling Islam, Pemikiran Bimbingan dan Konseling Islam ruang lingkup Bimbingan dan Konseling islam, integrasi Bimbingan Konseling Islam dengan Ilmu Dakwah, hal ini untuk memperjelas pohon ke ilmuan baik ontology, efistemologi dan axiologi kedudukan Bimbingan dan Konseling Islam berada pada Fakultas Dakwah, bukan pada fakultas Tarbiyah dan Pendidikan. Dalam bagian ini dibahs tentang integrasi ilmu dakwah ke bimbingan konseling Islam, hakikat ke ilmuan bimbingan dan konseling islam, dan prospek Bimbinganm dan Konseling imbingan dan konseling islam, prinsip dasar konseling dan konseling islam, tujuan konseling islam. Bagian enam membahas Metode dan Proses Bimbingan Konseling Islam, model-model konseling islam, metode konseling dalam islam, proses konseling Islam Buku Landasan Bimbingan Dan Konseling Islam ini diterbitkan oleh penerbit deepublish dan tersedia juga versi cetaknya.","ISBN":"9786232091795","language":"id","note":"Google-Books-ID: s4uNDwAAQBAJ","number-of-pages":"153","publisher":"Deepublish","source":"Google Books","title":"Landasan Bimbingan Dan Konseling Islam","author":[{"family":"Anwar","given":"M. Fuad"}],"issued":{"date-parts":[["2019",2,19]]}},"locator":"hlm. 15-16","label":"page"}],"schema":"https://github.com/citation-style-language/schema/raw/master/csl-citation.json"} </w:instrText>
      </w:r>
      <w:r w:rsidRPr="007A4584">
        <w:rPr>
          <w:rFonts w:ascii="Times New Roman" w:hAnsi="Times New Roman"/>
          <w:sz w:val="16"/>
          <w:szCs w:val="16"/>
        </w:rPr>
        <w:fldChar w:fldCharType="separate"/>
      </w:r>
      <w:proofErr w:type="gramStart"/>
      <w:r w:rsidRPr="007A4584">
        <w:rPr>
          <w:rFonts w:ascii="Times New Roman" w:hAnsi="Times New Roman"/>
          <w:sz w:val="16"/>
          <w:szCs w:val="16"/>
        </w:rPr>
        <w:t xml:space="preserve">M. Fuad Anwar, </w:t>
      </w:r>
      <w:r w:rsidRPr="007A4584">
        <w:rPr>
          <w:rFonts w:ascii="Times New Roman" w:hAnsi="Times New Roman"/>
          <w:i/>
          <w:iCs/>
          <w:sz w:val="16"/>
          <w:szCs w:val="16"/>
        </w:rPr>
        <w:t>Landasan Bimbingan Dan Konseling Islam</w:t>
      </w:r>
      <w:r w:rsidRPr="007A4584">
        <w:rPr>
          <w:rFonts w:ascii="Times New Roman" w:hAnsi="Times New Roman"/>
          <w:sz w:val="16"/>
          <w:szCs w:val="16"/>
        </w:rPr>
        <w:t xml:space="preserve"> (Deepublish, 2019), hlm.</w:t>
      </w:r>
      <w:proofErr w:type="gramEnd"/>
      <w:r w:rsidRPr="007A4584">
        <w:rPr>
          <w:rFonts w:ascii="Times New Roman" w:hAnsi="Times New Roman"/>
          <w:sz w:val="16"/>
          <w:szCs w:val="16"/>
        </w:rPr>
        <w:t xml:space="preserve"> 15-16.</w:t>
      </w:r>
      <w:r w:rsidRPr="007A4584">
        <w:rPr>
          <w:rFonts w:ascii="Times New Roman" w:hAnsi="Times New Roman"/>
          <w:sz w:val="16"/>
          <w:szCs w:val="16"/>
        </w:rPr>
        <w:fldChar w:fldCharType="end"/>
      </w:r>
    </w:p>
  </w:footnote>
  <w:footnote w:id="22">
    <w:p w14:paraId="573F3092"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{"citationID":"7MQFtakd","properties":{"formattedCitation":"Amin Abdullah, {\\i{}Implementasi pendekatan integratif-interkonektiv dalam kajian pendikan Islam}, hlm. 164.","plainCitation":"Amin Abdullah, Implementasi pendekatan integratif-interkonektiv dalam kajian pendikan Islam, hlm. 164.","noteIndex":6},"citationItems":[{"id":6,"uris":["http://zotero.org/users/local/ovBrhPsj/items/7QWC6N4A"],"itemData":{"id":6,"type":"book","event-place":"Yogyakarta","ISBN":"978-602-72084-8-3","language":"id","number-of-pages":"232","publisher":"Pascasarjana UIN Sunan Kalijaga","publisher-place":"Yogyakarta","source":"K10plus ISBN","title":"Implementasi pendekatan integratif-interkonektiv dalam kajian pendikan Islam","editor":[{"family":"H. Maragustam","given":""}],"author":[{"family":"Amin Abdullah","given":""}],"issued":{"date-parts":[["2014"]]}},"locator":"hlm. 164","label":"page"}],"schema":"https://github.com/citation-style-language/schema/raw/master/csl-citation.json"} </w:instrText>
      </w:r>
      <w:r w:rsidRPr="007A4584">
        <w:rPr>
          <w:rFonts w:ascii="Times New Roman" w:hAnsi="Times New Roman"/>
          <w:sz w:val="16"/>
          <w:szCs w:val="16"/>
        </w:rPr>
        <w:fldChar w:fldCharType="separate"/>
      </w:r>
      <w:r w:rsidRPr="007A4584">
        <w:rPr>
          <w:rFonts w:ascii="Times New Roman" w:hAnsi="Times New Roman"/>
          <w:sz w:val="16"/>
          <w:szCs w:val="16"/>
        </w:rPr>
        <w:t xml:space="preserve">Amin Abdullah, </w:t>
      </w:r>
      <w:r w:rsidRPr="007A4584">
        <w:rPr>
          <w:rFonts w:ascii="Times New Roman" w:hAnsi="Times New Roman"/>
          <w:i/>
          <w:iCs/>
          <w:sz w:val="16"/>
          <w:szCs w:val="16"/>
        </w:rPr>
        <w:t>Implementasi pendekatan integratif-interkonektiv dalam kajian pendikan Islam</w:t>
      </w:r>
      <w:r w:rsidRPr="007A4584">
        <w:rPr>
          <w:rFonts w:ascii="Times New Roman" w:hAnsi="Times New Roman"/>
          <w:sz w:val="16"/>
          <w:szCs w:val="16"/>
        </w:rPr>
        <w:t>, hlm. 164.</w:t>
      </w:r>
      <w:r w:rsidRPr="007A4584">
        <w:rPr>
          <w:rFonts w:ascii="Times New Roman" w:hAnsi="Times New Roman"/>
          <w:sz w:val="16"/>
          <w:szCs w:val="16"/>
        </w:rPr>
        <w:fldChar w:fldCharType="end"/>
      </w:r>
    </w:p>
  </w:footnote>
  <w:footnote w:id="23">
    <w:p w14:paraId="2E3742C8"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{"citationID":"4Xt5pi8m","properties":{"formattedCitation":"Agus Sukirno, {\\i{}Teori &amp; Teknik Konseling} (Penerbit A-Empat, 2015), hlm.17.","plainCitation":"Agus Sukirno, Teori &amp; Teknik Konseling (Penerbit A-Empat, 2015), hlm.17.","noteIndex":6},"citationItems":[{"id":11,"uris":["http://zotero.org/users/local/ovBrhPsj/items/QIMI2YJ7"],"itemData":{"id":11,"type":"book","abstract":"Materi dalam buku ini merupakan materi mata kuliah Teori dan Teknik Bimbingan dan Konseling Semester IV mahasiswa jurusan Bimbingan dan Konseling Islam Fakultas Ushuluddin Dakwah dan Adab IAIN Sultan Maulana Hasanuddin Banten.","ISBN":"978-602-72189-4-9","language":"id","note":"Google-Books-ID: 43ZWEAAAQBAJ","number-of-pages":"203","publisher":"Penerbit A-Empat","source":"Google Books","title":"Teori &amp; Teknik Konseling","author":[{"family":"Sukirno","given":"Agus"}],"issued":{"date-parts":[["2015",2,27]]}},"locator":"hlm.17","label":"page"}],"schema":"https://github.com/citation-style-language/schema/raw/master/csl-citation.json"} </w:instrText>
      </w:r>
      <w:r w:rsidRPr="007A4584">
        <w:rPr>
          <w:rFonts w:ascii="Times New Roman" w:hAnsi="Times New Roman"/>
          <w:sz w:val="16"/>
          <w:szCs w:val="16"/>
        </w:rPr>
        <w:fldChar w:fldCharType="separate"/>
      </w:r>
      <w:proofErr w:type="gramStart"/>
      <w:r w:rsidRPr="007A4584">
        <w:rPr>
          <w:rFonts w:ascii="Times New Roman" w:hAnsi="Times New Roman"/>
          <w:sz w:val="16"/>
          <w:szCs w:val="16"/>
        </w:rPr>
        <w:t xml:space="preserve">Agus Sukirno, </w:t>
      </w:r>
      <w:r w:rsidRPr="007A4584">
        <w:rPr>
          <w:rFonts w:ascii="Times New Roman" w:hAnsi="Times New Roman"/>
          <w:i/>
          <w:iCs/>
          <w:sz w:val="16"/>
          <w:szCs w:val="16"/>
        </w:rPr>
        <w:t>Teori &amp; Teknik Konseling</w:t>
      </w:r>
      <w:r w:rsidRPr="007A4584">
        <w:rPr>
          <w:rFonts w:ascii="Times New Roman" w:hAnsi="Times New Roman"/>
          <w:sz w:val="16"/>
          <w:szCs w:val="16"/>
        </w:rPr>
        <w:t xml:space="preserve"> (Penerbit A-Empat, 2015), hlm.17.</w:t>
      </w:r>
      <w:proofErr w:type="gramEnd"/>
      <w:r w:rsidRPr="007A4584">
        <w:rPr>
          <w:rFonts w:ascii="Times New Roman" w:hAnsi="Times New Roman"/>
          <w:sz w:val="16"/>
          <w:szCs w:val="16"/>
        </w:rPr>
        <w:fldChar w:fldCharType="end"/>
      </w:r>
    </w:p>
  </w:footnote>
  <w:footnote w:id="24">
    <w:p w14:paraId="1909C228"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{"citationID":"9U74dfoc","properties":{"formattedCitation":"Mustayah, Budiono, and Eka Wulandari, {\\i{}Penyelenggaraan Program Bimbingan Konseling di Perguruan Tinggi} (Penerbit NEM, 2022), hlm. 43.","plainCitation":"Mustayah, Budiono, and Eka Wulandari, Penyelenggaraan Program Bimbingan Konseling di Perguruan Tinggi (Penerbit NEM, 2022), hlm. 43.","noteIndex":7},"citationItems":[{"id":17,"uris":["http://zotero.org/users/local/ovBrhPsj/items/CPK28FUK"],"itemData":{"id":17,"type":"book","abstract":"Pendukung utama tercapainya sasaran pembangunan manusia Indonesia yang bermutu adalah pendidikan yang bermutu. Pendidikan yang bermutu tidak hanya menyangkut aspek akademis, tetapi juga menyangkut aspek perkembangan pribadi-sosial-kematangan intelektual dan sistem nilai. Karena itu pendidikan harus seimbang, yang tidak hanya mampu mengantarkan peserta didik pada pencapaian standar kemampuan profesional dan akademis, tetapi juga kemampuan mengembangkan diri yang sehat dan produktif. Setiap individu termasuk di dalamnya peserta didik dan atau mahasiswa akan menghadapi berbagai masalah seperti masalah, penyesuaian diri, masalah pendidikan, masalah sosial, masalah keluarga, dan masalah pribadi. Dalam hal tersebut, sekolah atau perguruan tinggi harus mampu membantu murid-muridnya dalam menyelesaikan masalah-masalah yang dihadapi. Maka dibutuhkan adanya program bimbingan dan konseling untuk membantu mengatasi permasalahan yang mungkin dihadapi oleh para peserta didik.Bimbingan adalah proses bantuan terhadap individu untuk mencapai pemahaman diri dan pengarahan diri guna menyesuaikan diri terhadap lingkungan, sekolah, keluarga, dan masyarakat. Menurut W.S. Winkel (1991:34), konseling merupakan serapan dari kata counselling yang dikaitkan dengan kata counsel, yang berarti nasihat (to obtain counsel), anjuran (to give counsel), atau pembicaraan (to take counsel). Secara etimologis, istilah konseling dari bahasa latin, yaitu consilium yang berarti dengan dan bersama yang dirangkai menerima atau memahami. Jadi, bisa ditarik kesimpulan bahwa bimbingan dan konseling adalah pelayanan bantuan untuk peserta didik, agar mandiri dan berkembang melalui jenis layanan dan kegiatan pendukung.Buku ini membahas tentang bimbingan dan konseling dan pedoman penyelengaraannya sesuai dengan kaidah yang ada dan diharapkan dapat dipergunakan dan membantu untuk menyusun program Bimbingan dan Konseling di Perguruan Tinggi.","ISBN":"9786234233032","language":"id","note":"Google-Books-ID: uax2EAAAQBAJ","number-of-pages":"185","publisher":"Penerbit NEM","source":"Google Books","title":"Penyelenggaraan Program Bimbingan Konseling di Perguruan Tinggi","author":[{"family":"Mustayah","given":""},{"family":"Budiono","given":""},{"family":"Wulandari","given":"Eka"}],"issued":{"date-parts":[["2022",6,15]]}},"locator":"hlm. 43","label":"page"}],"schema":"https://github.com/citation-style-language/schema/raw/master/csl-citation.json"} </w:instrText>
      </w:r>
      <w:r w:rsidRPr="007A4584">
        <w:rPr>
          <w:rFonts w:ascii="Times New Roman" w:hAnsi="Times New Roman"/>
          <w:sz w:val="16"/>
          <w:szCs w:val="16"/>
        </w:rPr>
        <w:fldChar w:fldCharType="separate"/>
      </w:r>
      <w:proofErr w:type="gramStart"/>
      <w:r w:rsidRPr="007A4584">
        <w:rPr>
          <w:rFonts w:ascii="Times New Roman" w:hAnsi="Times New Roman"/>
          <w:sz w:val="16"/>
          <w:szCs w:val="16"/>
        </w:rPr>
        <w:t xml:space="preserve">Mustayah, Budiono, and Eka Wulandari, </w:t>
      </w:r>
      <w:r w:rsidRPr="007A4584">
        <w:rPr>
          <w:rFonts w:ascii="Times New Roman" w:hAnsi="Times New Roman"/>
          <w:i/>
          <w:iCs/>
          <w:sz w:val="16"/>
          <w:szCs w:val="16"/>
        </w:rPr>
        <w:t>Penyelenggaraan Program Bimbingan Konseling di Perguruan Tinggi</w:t>
      </w:r>
      <w:r w:rsidRPr="007A4584">
        <w:rPr>
          <w:rFonts w:ascii="Times New Roman" w:hAnsi="Times New Roman"/>
          <w:sz w:val="16"/>
          <w:szCs w:val="16"/>
        </w:rPr>
        <w:t xml:space="preserve"> (Penerbit NEM, 2022), hlm.</w:t>
      </w:r>
      <w:proofErr w:type="gramEnd"/>
      <w:r w:rsidRPr="007A4584">
        <w:rPr>
          <w:rFonts w:ascii="Times New Roman" w:hAnsi="Times New Roman"/>
          <w:sz w:val="16"/>
          <w:szCs w:val="16"/>
        </w:rPr>
        <w:t xml:space="preserve"> 43.</w:t>
      </w:r>
      <w:r w:rsidRPr="007A4584">
        <w:rPr>
          <w:rFonts w:ascii="Times New Roman" w:hAnsi="Times New Roman"/>
          <w:sz w:val="16"/>
          <w:szCs w:val="16"/>
        </w:rPr>
        <w:fldChar w:fldCharType="end"/>
      </w:r>
    </w:p>
  </w:footnote>
  <w:footnote w:id="25">
    <w:p w14:paraId="266A47A8" w14:textId="1B097D76"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Utari Pratiwi, Yeni Karneli, Sufyarma Marsidin, Pemahaman Mendasar tentang Hakekat Ilmu</w:t>
      </w:r>
      <w:r w:rsidR="007D412A" w:rsidRPr="007A4584">
        <w:rPr>
          <w:rFonts w:ascii="Times New Roman" w:hAnsi="Times New Roman"/>
          <w:sz w:val="16"/>
          <w:szCs w:val="16"/>
        </w:rPr>
        <w:t> </w:t>
      </w:r>
      <w:r w:rsidRPr="007A4584">
        <w:rPr>
          <w:rFonts w:ascii="Times New Roman" w:hAnsi="Times New Roman"/>
          <w:sz w:val="16"/>
          <w:szCs w:val="16"/>
        </w:rPr>
        <w:t>dalam</w:t>
      </w:r>
      <w:r w:rsidR="007D412A" w:rsidRPr="007A4584">
        <w:rPr>
          <w:rFonts w:ascii="Times New Roman" w:hAnsi="Times New Roman"/>
          <w:sz w:val="16"/>
          <w:szCs w:val="16"/>
        </w:rPr>
        <w:t> </w:t>
      </w:r>
      <w:r w:rsidRPr="007A4584">
        <w:rPr>
          <w:rFonts w:ascii="Times New Roman" w:hAnsi="Times New Roman"/>
          <w:sz w:val="16"/>
          <w:szCs w:val="16"/>
        </w:rPr>
        <w:t>Tinjauan</w:t>
      </w:r>
      <w:r w:rsidR="007D412A" w:rsidRPr="007A4584">
        <w:rPr>
          <w:rFonts w:ascii="Times New Roman" w:hAnsi="Times New Roman"/>
          <w:sz w:val="16"/>
          <w:szCs w:val="16"/>
        </w:rPr>
        <w:t> </w:t>
      </w:r>
      <w:r w:rsidRPr="007A4584">
        <w:rPr>
          <w:rFonts w:ascii="Times New Roman" w:hAnsi="Times New Roman"/>
          <w:sz w:val="16"/>
          <w:szCs w:val="16"/>
        </w:rPr>
        <w:t>Filsafat:</w:t>
      </w:r>
      <w:r w:rsidR="007D412A" w:rsidRPr="007A4584">
        <w:rPr>
          <w:rFonts w:ascii="Times New Roman" w:hAnsi="Times New Roman"/>
          <w:sz w:val="16"/>
          <w:szCs w:val="16"/>
        </w:rPr>
        <w:t> </w:t>
      </w:r>
      <w:r w:rsidRPr="007A4584">
        <w:rPr>
          <w:rFonts w:ascii="Times New Roman" w:hAnsi="Times New Roman"/>
          <w:sz w:val="16"/>
          <w:szCs w:val="16"/>
        </w:rPr>
        <w:t>Ontologi,</w:t>
      </w:r>
      <w:r w:rsidR="007D412A" w:rsidRPr="007A4584">
        <w:rPr>
          <w:rFonts w:ascii="Times New Roman" w:hAnsi="Times New Roman"/>
          <w:sz w:val="16"/>
          <w:szCs w:val="16"/>
        </w:rPr>
        <w:t> </w:t>
      </w:r>
      <w:r w:rsidRPr="007A4584">
        <w:rPr>
          <w:rFonts w:ascii="Times New Roman" w:hAnsi="Times New Roman"/>
          <w:sz w:val="16"/>
          <w:szCs w:val="16"/>
        </w:rPr>
        <w:t>Epistemologi,</w:t>
      </w:r>
      <w:r w:rsidR="00C50F89" w:rsidRPr="007A4584">
        <w:rPr>
          <w:rFonts w:ascii="Times New Roman" w:hAnsi="Times New Roman"/>
          <w:sz w:val="16"/>
          <w:szCs w:val="16"/>
        </w:rPr>
        <w:t> </w:t>
      </w:r>
      <w:r w:rsidRPr="007A4584">
        <w:rPr>
          <w:rFonts w:ascii="Times New Roman" w:hAnsi="Times New Roman"/>
          <w:sz w:val="16"/>
          <w:szCs w:val="16"/>
        </w:rPr>
        <w:t>dan</w:t>
      </w:r>
      <w:r w:rsidR="00C50F89" w:rsidRPr="007A4584">
        <w:rPr>
          <w:rFonts w:ascii="Times New Roman" w:hAnsi="Times New Roman"/>
          <w:sz w:val="16"/>
          <w:szCs w:val="16"/>
        </w:rPr>
        <w:t> </w:t>
      </w:r>
      <w:r w:rsidRPr="007A4584">
        <w:rPr>
          <w:rFonts w:ascii="Times New Roman" w:hAnsi="Times New Roman"/>
          <w:sz w:val="16"/>
          <w:szCs w:val="16"/>
        </w:rPr>
        <w:t>Aksiologi(siberpublisher.org/JPSN).vol.2.no.2.(2014)</w:t>
      </w:r>
    </w:p>
  </w:footnote>
  <w:footnote w:id="26">
    <w:p w14:paraId="564BCAAD"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Utari Pratiwi, Yeni Karneli, Sufyarma Marsidin, Pemahaman Mendasar tentang Hakekat Ilmu dalam Tinjauan Filsafat: Ontologi, Epistemologi, dan Aksiologi(siberpublisher.org/JPSN).vol.2.no.2.(2014).</w:t>
      </w:r>
    </w:p>
  </w:footnote>
  <w:footnote w:id="27">
    <w:p w14:paraId="34AB361A" w14:textId="77777777" w:rsidR="003A1A75" w:rsidRPr="007A4584" w:rsidRDefault="003A1A75" w:rsidP="007A4584">
      <w:pPr>
        <w:pStyle w:val="FootnoteText"/>
        <w:ind w:firstLine="284"/>
        <w:jc w:val="both"/>
        <w:rPr>
          <w:rFonts w:ascii="Times New Roman" w:hAnsi="Times New Roman"/>
          <w:sz w:val="16"/>
          <w:szCs w:val="16"/>
        </w:rPr>
      </w:pPr>
      <w:r w:rsidRPr="007A4584">
        <w:rPr>
          <w:rStyle w:val="FootnoteReference"/>
          <w:rFonts w:ascii="Times New Roman" w:hAnsi="Times New Roman"/>
          <w:sz w:val="16"/>
          <w:szCs w:val="16"/>
        </w:rPr>
        <w:footnoteRef/>
      </w:r>
      <w:r w:rsidRPr="007A4584">
        <w:rPr>
          <w:rFonts w:ascii="Times New Roman" w:hAnsi="Times New Roman"/>
          <w:sz w:val="16"/>
          <w:szCs w:val="16"/>
        </w:rPr>
        <w:t xml:space="preserve"> </w:t>
      </w:r>
      <w:r w:rsidRPr="007A4584">
        <w:rPr>
          <w:rFonts w:ascii="Times New Roman" w:hAnsi="Times New Roman"/>
          <w:sz w:val="16"/>
          <w:szCs w:val="16"/>
        </w:rPr>
        <w:fldChar w:fldCharType="begin"/>
      </w:r>
      <w:r w:rsidRPr="007A4584">
        <w:rPr>
          <w:rFonts w:ascii="Times New Roman" w:hAnsi="Times New Roman"/>
          <w:sz w:val="16"/>
          <w:szCs w:val="16"/>
        </w:rPr>
        <w:instrText xml:space="preserve"> ADDIN ZOTERO_ITEM CSL_CITATION {"citationID":"zplgPTIV","properties":{"formattedCitation":"K. Komarudin, \\uc0\\u8220{}Mengungkap Landasan Filosofis Keilmuan Bimbingan Konseling Islam,\\uc0\\u8221{} {\\i{}International Journal Ihya\\uc0\\u8221{}Ulum al-Din} 17, no. 2 (2017): 209\\uc0\\u8211{}32.","plainCitation":"K. Komarudin, “Mengungkap Landasan Filosofis Keilmuan Bimbingan Konseling Islam,” International Journal Ihya”Ulum al-Din 17, no. 2 (2017): 209–32.","noteIndex":9},"citationItems":[{"id":29,"uris":["http://zotero.org/users/local/ovBrhPsj/items/84TCRZXW"],"itemData":{"id":29,"type":"article-journal","container-title":"International Journal Ihya”Ulum al-Din","issue":"2","note":"publisher: Universitas Islam Negeri Walisongo Semarang, Indonesia","page":"209–232","source":"Google Scholar","title":"Mengungkap landasan filosofis keilmuan bimbingan konseling Islam","volume":"17","author":[{"family":"Komarudin","given":"K."}],"issued":{"date-parts":[["2017"]]}}}],"schema":"https://github.com/citation-style-language/schema/raw/master/csl-citation.json"} </w:instrText>
      </w:r>
      <w:r w:rsidRPr="007A4584">
        <w:rPr>
          <w:rFonts w:ascii="Times New Roman" w:hAnsi="Times New Roman"/>
          <w:sz w:val="16"/>
          <w:szCs w:val="16"/>
        </w:rPr>
        <w:fldChar w:fldCharType="separate"/>
      </w:r>
      <w:r w:rsidRPr="007A4584">
        <w:rPr>
          <w:rFonts w:ascii="Times New Roman" w:hAnsi="Times New Roman"/>
          <w:sz w:val="16"/>
          <w:szCs w:val="16"/>
        </w:rPr>
        <w:t xml:space="preserve">K. Komarudin, “Mengungkap Landasan Filosofis Keilmuan Bimbingan Konseling Islam,” </w:t>
      </w:r>
      <w:r w:rsidRPr="007A4584">
        <w:rPr>
          <w:rFonts w:ascii="Times New Roman" w:hAnsi="Times New Roman"/>
          <w:i/>
          <w:iCs/>
          <w:sz w:val="16"/>
          <w:szCs w:val="16"/>
        </w:rPr>
        <w:t>International Journal Ihya”Ulum al-Din</w:t>
      </w:r>
      <w:r w:rsidRPr="007A4584">
        <w:rPr>
          <w:rFonts w:ascii="Times New Roman" w:hAnsi="Times New Roman"/>
          <w:sz w:val="16"/>
          <w:szCs w:val="16"/>
        </w:rPr>
        <w:t xml:space="preserve"> 17, no. 2 (2017): 209–32.</w:t>
      </w:r>
      <w:r w:rsidRPr="007A4584">
        <w:rPr>
          <w:rFonts w:ascii="Times New Roman" w:hAnsi="Times New Roman"/>
          <w:sz w:val="16"/>
          <w:szCs w:val="16"/>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8BD26" w14:textId="77777777" w:rsidR="00164899" w:rsidRDefault="00946304">
    <w:pPr>
      <w:pBdr>
        <w:top w:val="nil"/>
        <w:left w:val="nil"/>
        <w:bottom w:val="nil"/>
        <w:right w:val="nil"/>
        <w:between w:val="nil"/>
      </w:pBdr>
      <w:tabs>
        <w:tab w:val="center" w:pos="4513"/>
        <w:tab w:val="right" w:pos="9026"/>
      </w:tabs>
      <w:spacing w:after="120"/>
      <w:rPr>
        <w:rFonts w:eastAsia="Calibri" w:cs="Calibri"/>
        <w:color w:val="4F81BD"/>
        <w:sz w:val="20"/>
        <w:szCs w:val="20"/>
      </w:rPr>
    </w:pPr>
    <w:r>
      <w:rPr>
        <w:rFonts w:eastAsia="Calibri" w:cs="Calibri"/>
        <w:color w:val="000000"/>
        <w:sz w:val="20"/>
        <w:szCs w:val="20"/>
      </w:rPr>
      <w:t>Nama Penulis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CEFDC" w14:textId="77777777" w:rsidR="001C0CF2" w:rsidRPr="00DD47C9" w:rsidRDefault="001C0CF2" w:rsidP="001C0CF2">
    <w:pPr>
      <w:pBdr>
        <w:top w:val="nil"/>
        <w:left w:val="nil"/>
        <w:bottom w:val="nil"/>
        <w:right w:val="nil"/>
        <w:between w:val="nil"/>
      </w:pBdr>
      <w:tabs>
        <w:tab w:val="center" w:pos="4513"/>
        <w:tab w:val="right" w:pos="9026"/>
        <w:tab w:val="left" w:pos="6464"/>
      </w:tabs>
      <w:spacing w:after="120"/>
      <w:jc w:val="right"/>
      <w:rPr>
        <w:rFonts w:ascii="Times New Roman" w:eastAsia="Calibri" w:hAnsi="Times New Roman"/>
        <w:b/>
        <w:color w:val="808080"/>
        <w:sz w:val="20"/>
        <w:szCs w:val="20"/>
      </w:rPr>
    </w:pPr>
    <w:r w:rsidRPr="00DD47C9">
      <w:rPr>
        <w:rFonts w:ascii="Times New Roman" w:eastAsia="Calibri" w:hAnsi="Times New Roman"/>
        <w:b/>
        <w:color w:val="808080"/>
        <w:sz w:val="20"/>
        <w:szCs w:val="20"/>
      </w:rPr>
      <w:t>Filsafat Logika Keilmuan Sebagai Landasan Integrasi-Interkoneksi Bimbingan Konseling Islam</w:t>
    </w:r>
  </w:p>
  <w:p w14:paraId="26150A0E" w14:textId="127DA42D" w:rsidR="00164899" w:rsidRPr="00DD47C9" w:rsidRDefault="00164899">
    <w:pPr>
      <w:pBdr>
        <w:top w:val="nil"/>
        <w:left w:val="nil"/>
        <w:bottom w:val="nil"/>
        <w:right w:val="nil"/>
        <w:between w:val="nil"/>
      </w:pBdr>
      <w:tabs>
        <w:tab w:val="center" w:pos="4513"/>
        <w:tab w:val="right" w:pos="9026"/>
        <w:tab w:val="left" w:pos="6464"/>
      </w:tabs>
      <w:spacing w:after="120"/>
      <w:jc w:val="right"/>
      <w:rPr>
        <w:rFonts w:ascii="Times New Roman" w:eastAsia="Calibri" w:hAnsi="Times New Roman"/>
        <w:color w:val="8080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C1803"/>
    <w:multiLevelType w:val="hybridMultilevel"/>
    <w:tmpl w:val="96C0C062"/>
    <w:lvl w:ilvl="0" w:tplc="83CEE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AB0F64"/>
    <w:multiLevelType w:val="multilevel"/>
    <w:tmpl w:val="A7D41B80"/>
    <w:lvl w:ilvl="0">
      <w:start w:val="1"/>
      <w:numFmt w:val="lowerLetter"/>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3A6E06"/>
    <w:multiLevelType w:val="multilevel"/>
    <w:tmpl w:val="506234C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94761E"/>
    <w:multiLevelType w:val="multilevel"/>
    <w:tmpl w:val="150A8436"/>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BE0F7E"/>
    <w:multiLevelType w:val="hybridMultilevel"/>
    <w:tmpl w:val="C040E5B6"/>
    <w:lvl w:ilvl="0" w:tplc="CA9C5CD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3B381DD7"/>
    <w:multiLevelType w:val="hybridMultilevel"/>
    <w:tmpl w:val="3648EE3C"/>
    <w:lvl w:ilvl="0" w:tplc="442015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26C4D08"/>
    <w:multiLevelType w:val="hybridMultilevel"/>
    <w:tmpl w:val="153E5D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427703F"/>
    <w:multiLevelType w:val="hybridMultilevel"/>
    <w:tmpl w:val="FBA46AC0"/>
    <w:lvl w:ilvl="0" w:tplc="C67CF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6474BA"/>
    <w:multiLevelType w:val="multilevel"/>
    <w:tmpl w:val="8EDADFB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6"/>
  </w:num>
  <w:num w:numId="5">
    <w:abstractNumId w:val="8"/>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99"/>
    <w:rsid w:val="000710DF"/>
    <w:rsid w:val="000724C0"/>
    <w:rsid w:val="000E7C0B"/>
    <w:rsid w:val="001107F3"/>
    <w:rsid w:val="00112646"/>
    <w:rsid w:val="00164899"/>
    <w:rsid w:val="001B75A9"/>
    <w:rsid w:val="001C0CF2"/>
    <w:rsid w:val="001F0D14"/>
    <w:rsid w:val="00200B37"/>
    <w:rsid w:val="002A2373"/>
    <w:rsid w:val="002D5ABD"/>
    <w:rsid w:val="002F0EC6"/>
    <w:rsid w:val="00357FEE"/>
    <w:rsid w:val="00386C8E"/>
    <w:rsid w:val="003A1A75"/>
    <w:rsid w:val="004859EE"/>
    <w:rsid w:val="004C7DEE"/>
    <w:rsid w:val="00646142"/>
    <w:rsid w:val="00652D2D"/>
    <w:rsid w:val="00657636"/>
    <w:rsid w:val="006C09E8"/>
    <w:rsid w:val="007A4584"/>
    <w:rsid w:val="007C5CA5"/>
    <w:rsid w:val="007D412A"/>
    <w:rsid w:val="00871D7E"/>
    <w:rsid w:val="00875F66"/>
    <w:rsid w:val="008F1887"/>
    <w:rsid w:val="00946304"/>
    <w:rsid w:val="00951ECE"/>
    <w:rsid w:val="0097252F"/>
    <w:rsid w:val="00A97C73"/>
    <w:rsid w:val="00AE0945"/>
    <w:rsid w:val="00AF7341"/>
    <w:rsid w:val="00C50F89"/>
    <w:rsid w:val="00C55AE5"/>
    <w:rsid w:val="00C8168D"/>
    <w:rsid w:val="00CD02F5"/>
    <w:rsid w:val="00D11EC2"/>
    <w:rsid w:val="00D27932"/>
    <w:rsid w:val="00D737CA"/>
    <w:rsid w:val="00DB1ED2"/>
    <w:rsid w:val="00DD2804"/>
    <w:rsid w:val="00DD47C9"/>
    <w:rsid w:val="00DE56D8"/>
    <w:rsid w:val="00E23E45"/>
    <w:rsid w:val="00E35A9B"/>
    <w:rsid w:val="00E8200C"/>
    <w:rsid w:val="00ED136B"/>
    <w:rsid w:val="00EE5468"/>
    <w:rsid w:val="00EF3186"/>
    <w:rsid w:val="00F26DB6"/>
    <w:rsid w:val="00F4743A"/>
    <w:rsid w:val="00F65FAD"/>
    <w:rsid w:val="00FF0A4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9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4F"/>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qFormat/>
    <w:rsid w:val="003A7F4F"/>
    <w:pPr>
      <w:spacing w:after="0" w:line="240" w:lineRule="auto"/>
    </w:pPr>
    <w:rPr>
      <w:sz w:val="20"/>
      <w:szCs w:val="20"/>
    </w:rPr>
  </w:style>
  <w:style w:type="character" w:customStyle="1" w:styleId="FootnoteTextChar">
    <w:name w:val="Footnote Text Char"/>
    <w:basedOn w:val="DefaultParagraphFont"/>
    <w:link w:val="FootnoteText"/>
    <w:uiPriority w:val="99"/>
    <w:rsid w:val="003A7F4F"/>
    <w:rPr>
      <w:rFonts w:ascii="Calibri" w:eastAsia="Times New Roman" w:hAnsi="Calibri" w:cs="Times New Roman"/>
      <w:sz w:val="20"/>
      <w:szCs w:val="20"/>
    </w:rPr>
  </w:style>
  <w:style w:type="character" w:styleId="FootnoteReference">
    <w:name w:val="footnote reference"/>
    <w:basedOn w:val="DefaultParagraphFont"/>
    <w:uiPriority w:val="99"/>
    <w:unhideWhenUsed/>
    <w:qFormat/>
    <w:rsid w:val="003A7F4F"/>
    <w:rPr>
      <w:rFonts w:cs="Times New Roman"/>
      <w:vertAlign w:val="superscript"/>
    </w:rPr>
  </w:style>
  <w:style w:type="paragraph" w:styleId="Footer">
    <w:name w:val="footer"/>
    <w:basedOn w:val="Normal"/>
    <w:link w:val="FooterChar"/>
    <w:uiPriority w:val="99"/>
    <w:unhideWhenUsed/>
    <w:qFormat/>
    <w:rsid w:val="003A7F4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A7F4F"/>
    <w:rPr>
      <w:rFonts w:ascii="Calibri" w:eastAsia="Times New Roman" w:hAnsi="Calibri" w:cs="Times New Roman"/>
    </w:rPr>
  </w:style>
  <w:style w:type="paragraph" w:styleId="ListParagraph">
    <w:name w:val="List Paragraph"/>
    <w:aliases w:val="Body of text,List Paragraph1,Normal1,Normal11,Normal111,Normal2"/>
    <w:basedOn w:val="Normal"/>
    <w:link w:val="ListParagraphChar"/>
    <w:uiPriority w:val="34"/>
    <w:qFormat/>
    <w:rsid w:val="003A7F4F"/>
    <w:pPr>
      <w:ind w:left="720"/>
      <w:contextualSpacing/>
    </w:pPr>
  </w:style>
  <w:style w:type="paragraph" w:styleId="Header">
    <w:name w:val="header"/>
    <w:basedOn w:val="Normal"/>
    <w:link w:val="HeaderChar"/>
    <w:uiPriority w:val="99"/>
    <w:unhideWhenUsed/>
    <w:qFormat/>
    <w:rsid w:val="003A7F4F"/>
    <w:pPr>
      <w:tabs>
        <w:tab w:val="center" w:pos="4513"/>
        <w:tab w:val="right" w:pos="9026"/>
      </w:tabs>
    </w:pPr>
  </w:style>
  <w:style w:type="character" w:customStyle="1" w:styleId="HeaderChar">
    <w:name w:val="Header Char"/>
    <w:basedOn w:val="DefaultParagraphFont"/>
    <w:link w:val="Header"/>
    <w:uiPriority w:val="99"/>
    <w:qFormat/>
    <w:rsid w:val="003A7F4F"/>
    <w:rPr>
      <w:rFonts w:ascii="Calibri" w:eastAsia="Times New Roman" w:hAnsi="Calibri" w:cs="Times New Roman"/>
    </w:rPr>
  </w:style>
  <w:style w:type="character" w:styleId="Hyperlink">
    <w:name w:val="Hyperlink"/>
    <w:basedOn w:val="DefaultParagraphFont"/>
    <w:uiPriority w:val="99"/>
    <w:unhideWhenUsed/>
    <w:qFormat/>
    <w:rsid w:val="003A7F4F"/>
    <w:rPr>
      <w:color w:val="0000FF"/>
      <w:u w:val="single"/>
    </w:rPr>
  </w:style>
  <w:style w:type="paragraph" w:styleId="BodyText">
    <w:name w:val="Body Text"/>
    <w:basedOn w:val="Normal"/>
    <w:link w:val="BodyTextChar"/>
    <w:uiPriority w:val="99"/>
    <w:unhideWhenUsed/>
    <w:rsid w:val="003A7F4F"/>
    <w:pPr>
      <w:spacing w:after="120"/>
    </w:pPr>
  </w:style>
  <w:style w:type="character" w:customStyle="1" w:styleId="BodyTextChar">
    <w:name w:val="Body Text Char"/>
    <w:basedOn w:val="DefaultParagraphFont"/>
    <w:link w:val="BodyText"/>
    <w:uiPriority w:val="99"/>
    <w:rsid w:val="003A7F4F"/>
    <w:rPr>
      <w:rFonts w:ascii="Calibri" w:eastAsia="Times New Roman" w:hAnsi="Calibri" w:cs="Times New Roman"/>
    </w:rPr>
  </w:style>
  <w:style w:type="paragraph" w:customStyle="1" w:styleId="tablecolhead">
    <w:name w:val="table col head"/>
    <w:basedOn w:val="Normal"/>
    <w:rsid w:val="003A7F4F"/>
    <w:pPr>
      <w:spacing w:after="0" w:line="240" w:lineRule="auto"/>
      <w:jc w:val="center"/>
    </w:pPr>
    <w:rPr>
      <w:rFonts w:ascii="Times New Roman" w:eastAsia="SimSun" w:hAnsi="Times New Roman"/>
      <w:b/>
      <w:bCs/>
      <w:sz w:val="16"/>
      <w:szCs w:val="16"/>
    </w:rPr>
  </w:style>
  <w:style w:type="paragraph" w:customStyle="1" w:styleId="tablecolsubhead">
    <w:name w:val="table col subhead"/>
    <w:basedOn w:val="tablecolhead"/>
    <w:rsid w:val="003A7F4F"/>
    <w:rPr>
      <w:i/>
      <w:iCs/>
      <w:sz w:val="15"/>
      <w:szCs w:val="15"/>
    </w:rPr>
  </w:style>
  <w:style w:type="paragraph" w:customStyle="1" w:styleId="tablecopy">
    <w:name w:val="table copy"/>
    <w:rsid w:val="003A7F4F"/>
    <w:pPr>
      <w:spacing w:after="0" w:line="240" w:lineRule="auto"/>
      <w:jc w:val="both"/>
    </w:pPr>
    <w:rPr>
      <w:rFonts w:ascii="Times New Roman" w:eastAsia="SimSun" w:hAnsi="Times New Roman" w:cs="Times New Roman"/>
      <w:noProof/>
      <w:sz w:val="16"/>
      <w:szCs w:val="16"/>
    </w:rPr>
  </w:style>
  <w:style w:type="paragraph" w:styleId="BalloonText">
    <w:name w:val="Balloon Text"/>
    <w:basedOn w:val="Normal"/>
    <w:link w:val="BalloonTextChar"/>
    <w:uiPriority w:val="99"/>
    <w:semiHidden/>
    <w:unhideWhenUsed/>
    <w:rsid w:val="003A7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4F"/>
    <w:rPr>
      <w:rFonts w:ascii="Tahoma" w:eastAsia="Times New Roman" w:hAnsi="Tahoma" w:cs="Tahoma"/>
      <w:sz w:val="16"/>
      <w:szCs w:val="16"/>
    </w:rPr>
  </w:style>
  <w:style w:type="table" w:styleId="TableGrid">
    <w:name w:val="Table Grid"/>
    <w:basedOn w:val="TableNormal"/>
    <w:uiPriority w:val="59"/>
    <w:rsid w:val="00D74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E69A2"/>
    <w:pPr>
      <w:spacing w:after="0" w:line="240" w:lineRule="auto"/>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semiHidden/>
    <w:unhideWhenUsed/>
    <w:rsid w:val="004C7DEE"/>
    <w:pPr>
      <w:spacing w:before="100" w:beforeAutospacing="1" w:after="100" w:afterAutospacing="1" w:line="240" w:lineRule="auto"/>
    </w:pPr>
    <w:rPr>
      <w:rFonts w:ascii="Times New Roman" w:hAnsi="Times New Roman"/>
      <w:sz w:val="24"/>
      <w:szCs w:val="24"/>
      <w:lang w:val="en-ID"/>
    </w:rPr>
  </w:style>
  <w:style w:type="character" w:styleId="Emphasis">
    <w:name w:val="Emphasis"/>
    <w:basedOn w:val="DefaultParagraphFont"/>
    <w:uiPriority w:val="20"/>
    <w:qFormat/>
    <w:rsid w:val="00ED136B"/>
    <w:rPr>
      <w:i/>
      <w:iCs/>
    </w:rPr>
  </w:style>
  <w:style w:type="character" w:styleId="Strong">
    <w:name w:val="Strong"/>
    <w:basedOn w:val="DefaultParagraphFont"/>
    <w:uiPriority w:val="22"/>
    <w:qFormat/>
    <w:rsid w:val="00ED136B"/>
    <w:rPr>
      <w:b/>
      <w:bCs/>
    </w:rPr>
  </w:style>
  <w:style w:type="character" w:customStyle="1" w:styleId="UnresolvedMention">
    <w:name w:val="Unresolved Mention"/>
    <w:basedOn w:val="DefaultParagraphFont"/>
    <w:uiPriority w:val="99"/>
    <w:semiHidden/>
    <w:unhideWhenUsed/>
    <w:rsid w:val="00ED136B"/>
    <w:rPr>
      <w:color w:val="605E5C"/>
      <w:shd w:val="clear" w:color="auto" w:fill="E1DFDD"/>
    </w:rPr>
  </w:style>
  <w:style w:type="paragraph" w:customStyle="1" w:styleId="TableParagraph">
    <w:name w:val="Table Paragraph"/>
    <w:basedOn w:val="Normal"/>
    <w:uiPriority w:val="1"/>
    <w:qFormat/>
    <w:rsid w:val="004859EE"/>
    <w:pPr>
      <w:widowControl w:val="0"/>
      <w:autoSpaceDE w:val="0"/>
      <w:autoSpaceDN w:val="0"/>
      <w:spacing w:after="0" w:line="240" w:lineRule="auto"/>
      <w:ind w:left="112"/>
    </w:pPr>
    <w:rPr>
      <w:rFonts w:ascii="Tahoma" w:eastAsia="Tahoma" w:hAnsi="Tahoma" w:cs="Tahoma"/>
      <w:lang w:eastAsia="en-US"/>
    </w:rPr>
  </w:style>
  <w:style w:type="character" w:customStyle="1" w:styleId="answerparsertextcontainerziiv">
    <w:name w:val="answerparser_textcontainer__z_iiv"/>
    <w:basedOn w:val="DefaultParagraphFont"/>
    <w:rsid w:val="00657636"/>
  </w:style>
  <w:style w:type="character" w:customStyle="1" w:styleId="ListParagraphChar">
    <w:name w:val="List Paragraph Char"/>
    <w:aliases w:val="Body of text Char,List Paragraph1 Char,Normal1 Char,Normal11 Char,Normal111 Char,Normal2 Char"/>
    <w:link w:val="ListParagraph"/>
    <w:uiPriority w:val="34"/>
    <w:locked/>
    <w:rsid w:val="00657636"/>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4F"/>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qFormat/>
    <w:rsid w:val="003A7F4F"/>
    <w:pPr>
      <w:spacing w:after="0" w:line="240" w:lineRule="auto"/>
    </w:pPr>
    <w:rPr>
      <w:sz w:val="20"/>
      <w:szCs w:val="20"/>
    </w:rPr>
  </w:style>
  <w:style w:type="character" w:customStyle="1" w:styleId="FootnoteTextChar">
    <w:name w:val="Footnote Text Char"/>
    <w:basedOn w:val="DefaultParagraphFont"/>
    <w:link w:val="FootnoteText"/>
    <w:uiPriority w:val="99"/>
    <w:rsid w:val="003A7F4F"/>
    <w:rPr>
      <w:rFonts w:ascii="Calibri" w:eastAsia="Times New Roman" w:hAnsi="Calibri" w:cs="Times New Roman"/>
      <w:sz w:val="20"/>
      <w:szCs w:val="20"/>
    </w:rPr>
  </w:style>
  <w:style w:type="character" w:styleId="FootnoteReference">
    <w:name w:val="footnote reference"/>
    <w:basedOn w:val="DefaultParagraphFont"/>
    <w:uiPriority w:val="99"/>
    <w:unhideWhenUsed/>
    <w:qFormat/>
    <w:rsid w:val="003A7F4F"/>
    <w:rPr>
      <w:rFonts w:cs="Times New Roman"/>
      <w:vertAlign w:val="superscript"/>
    </w:rPr>
  </w:style>
  <w:style w:type="paragraph" w:styleId="Footer">
    <w:name w:val="footer"/>
    <w:basedOn w:val="Normal"/>
    <w:link w:val="FooterChar"/>
    <w:uiPriority w:val="99"/>
    <w:unhideWhenUsed/>
    <w:qFormat/>
    <w:rsid w:val="003A7F4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A7F4F"/>
    <w:rPr>
      <w:rFonts w:ascii="Calibri" w:eastAsia="Times New Roman" w:hAnsi="Calibri" w:cs="Times New Roman"/>
    </w:rPr>
  </w:style>
  <w:style w:type="paragraph" w:styleId="ListParagraph">
    <w:name w:val="List Paragraph"/>
    <w:aliases w:val="Body of text,List Paragraph1,Normal1,Normal11,Normal111,Normal2"/>
    <w:basedOn w:val="Normal"/>
    <w:link w:val="ListParagraphChar"/>
    <w:uiPriority w:val="34"/>
    <w:qFormat/>
    <w:rsid w:val="003A7F4F"/>
    <w:pPr>
      <w:ind w:left="720"/>
      <w:contextualSpacing/>
    </w:pPr>
  </w:style>
  <w:style w:type="paragraph" w:styleId="Header">
    <w:name w:val="header"/>
    <w:basedOn w:val="Normal"/>
    <w:link w:val="HeaderChar"/>
    <w:uiPriority w:val="99"/>
    <w:unhideWhenUsed/>
    <w:qFormat/>
    <w:rsid w:val="003A7F4F"/>
    <w:pPr>
      <w:tabs>
        <w:tab w:val="center" w:pos="4513"/>
        <w:tab w:val="right" w:pos="9026"/>
      </w:tabs>
    </w:pPr>
  </w:style>
  <w:style w:type="character" w:customStyle="1" w:styleId="HeaderChar">
    <w:name w:val="Header Char"/>
    <w:basedOn w:val="DefaultParagraphFont"/>
    <w:link w:val="Header"/>
    <w:uiPriority w:val="99"/>
    <w:qFormat/>
    <w:rsid w:val="003A7F4F"/>
    <w:rPr>
      <w:rFonts w:ascii="Calibri" w:eastAsia="Times New Roman" w:hAnsi="Calibri" w:cs="Times New Roman"/>
    </w:rPr>
  </w:style>
  <w:style w:type="character" w:styleId="Hyperlink">
    <w:name w:val="Hyperlink"/>
    <w:basedOn w:val="DefaultParagraphFont"/>
    <w:uiPriority w:val="99"/>
    <w:unhideWhenUsed/>
    <w:qFormat/>
    <w:rsid w:val="003A7F4F"/>
    <w:rPr>
      <w:color w:val="0000FF"/>
      <w:u w:val="single"/>
    </w:rPr>
  </w:style>
  <w:style w:type="paragraph" w:styleId="BodyText">
    <w:name w:val="Body Text"/>
    <w:basedOn w:val="Normal"/>
    <w:link w:val="BodyTextChar"/>
    <w:uiPriority w:val="99"/>
    <w:unhideWhenUsed/>
    <w:rsid w:val="003A7F4F"/>
    <w:pPr>
      <w:spacing w:after="120"/>
    </w:pPr>
  </w:style>
  <w:style w:type="character" w:customStyle="1" w:styleId="BodyTextChar">
    <w:name w:val="Body Text Char"/>
    <w:basedOn w:val="DefaultParagraphFont"/>
    <w:link w:val="BodyText"/>
    <w:uiPriority w:val="99"/>
    <w:rsid w:val="003A7F4F"/>
    <w:rPr>
      <w:rFonts w:ascii="Calibri" w:eastAsia="Times New Roman" w:hAnsi="Calibri" w:cs="Times New Roman"/>
    </w:rPr>
  </w:style>
  <w:style w:type="paragraph" w:customStyle="1" w:styleId="tablecolhead">
    <w:name w:val="table col head"/>
    <w:basedOn w:val="Normal"/>
    <w:rsid w:val="003A7F4F"/>
    <w:pPr>
      <w:spacing w:after="0" w:line="240" w:lineRule="auto"/>
      <w:jc w:val="center"/>
    </w:pPr>
    <w:rPr>
      <w:rFonts w:ascii="Times New Roman" w:eastAsia="SimSun" w:hAnsi="Times New Roman"/>
      <w:b/>
      <w:bCs/>
      <w:sz w:val="16"/>
      <w:szCs w:val="16"/>
    </w:rPr>
  </w:style>
  <w:style w:type="paragraph" w:customStyle="1" w:styleId="tablecolsubhead">
    <w:name w:val="table col subhead"/>
    <w:basedOn w:val="tablecolhead"/>
    <w:rsid w:val="003A7F4F"/>
    <w:rPr>
      <w:i/>
      <w:iCs/>
      <w:sz w:val="15"/>
      <w:szCs w:val="15"/>
    </w:rPr>
  </w:style>
  <w:style w:type="paragraph" w:customStyle="1" w:styleId="tablecopy">
    <w:name w:val="table copy"/>
    <w:rsid w:val="003A7F4F"/>
    <w:pPr>
      <w:spacing w:after="0" w:line="240" w:lineRule="auto"/>
      <w:jc w:val="both"/>
    </w:pPr>
    <w:rPr>
      <w:rFonts w:ascii="Times New Roman" w:eastAsia="SimSun" w:hAnsi="Times New Roman" w:cs="Times New Roman"/>
      <w:noProof/>
      <w:sz w:val="16"/>
      <w:szCs w:val="16"/>
    </w:rPr>
  </w:style>
  <w:style w:type="paragraph" w:styleId="BalloonText">
    <w:name w:val="Balloon Text"/>
    <w:basedOn w:val="Normal"/>
    <w:link w:val="BalloonTextChar"/>
    <w:uiPriority w:val="99"/>
    <w:semiHidden/>
    <w:unhideWhenUsed/>
    <w:rsid w:val="003A7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4F"/>
    <w:rPr>
      <w:rFonts w:ascii="Tahoma" w:eastAsia="Times New Roman" w:hAnsi="Tahoma" w:cs="Tahoma"/>
      <w:sz w:val="16"/>
      <w:szCs w:val="16"/>
    </w:rPr>
  </w:style>
  <w:style w:type="table" w:styleId="TableGrid">
    <w:name w:val="Table Grid"/>
    <w:basedOn w:val="TableNormal"/>
    <w:uiPriority w:val="59"/>
    <w:rsid w:val="00D74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E69A2"/>
    <w:pPr>
      <w:spacing w:after="0" w:line="240" w:lineRule="auto"/>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semiHidden/>
    <w:unhideWhenUsed/>
    <w:rsid w:val="004C7DEE"/>
    <w:pPr>
      <w:spacing w:before="100" w:beforeAutospacing="1" w:after="100" w:afterAutospacing="1" w:line="240" w:lineRule="auto"/>
    </w:pPr>
    <w:rPr>
      <w:rFonts w:ascii="Times New Roman" w:hAnsi="Times New Roman"/>
      <w:sz w:val="24"/>
      <w:szCs w:val="24"/>
      <w:lang w:val="en-ID"/>
    </w:rPr>
  </w:style>
  <w:style w:type="character" w:styleId="Emphasis">
    <w:name w:val="Emphasis"/>
    <w:basedOn w:val="DefaultParagraphFont"/>
    <w:uiPriority w:val="20"/>
    <w:qFormat/>
    <w:rsid w:val="00ED136B"/>
    <w:rPr>
      <w:i/>
      <w:iCs/>
    </w:rPr>
  </w:style>
  <w:style w:type="character" w:styleId="Strong">
    <w:name w:val="Strong"/>
    <w:basedOn w:val="DefaultParagraphFont"/>
    <w:uiPriority w:val="22"/>
    <w:qFormat/>
    <w:rsid w:val="00ED136B"/>
    <w:rPr>
      <w:b/>
      <w:bCs/>
    </w:rPr>
  </w:style>
  <w:style w:type="character" w:customStyle="1" w:styleId="UnresolvedMention">
    <w:name w:val="Unresolved Mention"/>
    <w:basedOn w:val="DefaultParagraphFont"/>
    <w:uiPriority w:val="99"/>
    <w:semiHidden/>
    <w:unhideWhenUsed/>
    <w:rsid w:val="00ED136B"/>
    <w:rPr>
      <w:color w:val="605E5C"/>
      <w:shd w:val="clear" w:color="auto" w:fill="E1DFDD"/>
    </w:rPr>
  </w:style>
  <w:style w:type="paragraph" w:customStyle="1" w:styleId="TableParagraph">
    <w:name w:val="Table Paragraph"/>
    <w:basedOn w:val="Normal"/>
    <w:uiPriority w:val="1"/>
    <w:qFormat/>
    <w:rsid w:val="004859EE"/>
    <w:pPr>
      <w:widowControl w:val="0"/>
      <w:autoSpaceDE w:val="0"/>
      <w:autoSpaceDN w:val="0"/>
      <w:spacing w:after="0" w:line="240" w:lineRule="auto"/>
      <w:ind w:left="112"/>
    </w:pPr>
    <w:rPr>
      <w:rFonts w:ascii="Tahoma" w:eastAsia="Tahoma" w:hAnsi="Tahoma" w:cs="Tahoma"/>
      <w:lang w:eastAsia="en-US"/>
    </w:rPr>
  </w:style>
  <w:style w:type="character" w:customStyle="1" w:styleId="answerparsertextcontainerziiv">
    <w:name w:val="answerparser_textcontainer__z_iiv"/>
    <w:basedOn w:val="DefaultParagraphFont"/>
    <w:rsid w:val="00657636"/>
  </w:style>
  <w:style w:type="character" w:customStyle="1" w:styleId="ListParagraphChar">
    <w:name w:val="List Paragraph Char"/>
    <w:aliases w:val="Body of text Char,List Paragraph1 Char,Normal1 Char,Normal11 Char,Normal111 Char,Normal2 Char"/>
    <w:link w:val="ListParagraph"/>
    <w:uiPriority w:val="34"/>
    <w:locked/>
    <w:rsid w:val="00657636"/>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9868">
      <w:bodyDiv w:val="1"/>
      <w:marLeft w:val="0"/>
      <w:marRight w:val="0"/>
      <w:marTop w:val="0"/>
      <w:marBottom w:val="0"/>
      <w:divBdr>
        <w:top w:val="none" w:sz="0" w:space="0" w:color="auto"/>
        <w:left w:val="none" w:sz="0" w:space="0" w:color="auto"/>
        <w:bottom w:val="none" w:sz="0" w:space="0" w:color="auto"/>
        <w:right w:val="none" w:sz="0" w:space="0" w:color="auto"/>
      </w:divBdr>
    </w:div>
    <w:div w:id="163672527">
      <w:bodyDiv w:val="1"/>
      <w:marLeft w:val="0"/>
      <w:marRight w:val="0"/>
      <w:marTop w:val="0"/>
      <w:marBottom w:val="0"/>
      <w:divBdr>
        <w:top w:val="none" w:sz="0" w:space="0" w:color="auto"/>
        <w:left w:val="none" w:sz="0" w:space="0" w:color="auto"/>
        <w:bottom w:val="none" w:sz="0" w:space="0" w:color="auto"/>
        <w:right w:val="none" w:sz="0" w:space="0" w:color="auto"/>
      </w:divBdr>
    </w:div>
    <w:div w:id="207301084">
      <w:bodyDiv w:val="1"/>
      <w:marLeft w:val="0"/>
      <w:marRight w:val="0"/>
      <w:marTop w:val="0"/>
      <w:marBottom w:val="0"/>
      <w:divBdr>
        <w:top w:val="none" w:sz="0" w:space="0" w:color="auto"/>
        <w:left w:val="none" w:sz="0" w:space="0" w:color="auto"/>
        <w:bottom w:val="none" w:sz="0" w:space="0" w:color="auto"/>
        <w:right w:val="none" w:sz="0" w:space="0" w:color="auto"/>
      </w:divBdr>
    </w:div>
    <w:div w:id="333801052">
      <w:bodyDiv w:val="1"/>
      <w:marLeft w:val="0"/>
      <w:marRight w:val="0"/>
      <w:marTop w:val="0"/>
      <w:marBottom w:val="0"/>
      <w:divBdr>
        <w:top w:val="none" w:sz="0" w:space="0" w:color="auto"/>
        <w:left w:val="none" w:sz="0" w:space="0" w:color="auto"/>
        <w:bottom w:val="none" w:sz="0" w:space="0" w:color="auto"/>
        <w:right w:val="none" w:sz="0" w:space="0" w:color="auto"/>
      </w:divBdr>
    </w:div>
    <w:div w:id="424107460">
      <w:bodyDiv w:val="1"/>
      <w:marLeft w:val="0"/>
      <w:marRight w:val="0"/>
      <w:marTop w:val="0"/>
      <w:marBottom w:val="0"/>
      <w:divBdr>
        <w:top w:val="none" w:sz="0" w:space="0" w:color="auto"/>
        <w:left w:val="none" w:sz="0" w:space="0" w:color="auto"/>
        <w:bottom w:val="none" w:sz="0" w:space="0" w:color="auto"/>
        <w:right w:val="none" w:sz="0" w:space="0" w:color="auto"/>
      </w:divBdr>
    </w:div>
    <w:div w:id="432287334">
      <w:bodyDiv w:val="1"/>
      <w:marLeft w:val="0"/>
      <w:marRight w:val="0"/>
      <w:marTop w:val="0"/>
      <w:marBottom w:val="0"/>
      <w:divBdr>
        <w:top w:val="none" w:sz="0" w:space="0" w:color="auto"/>
        <w:left w:val="none" w:sz="0" w:space="0" w:color="auto"/>
        <w:bottom w:val="none" w:sz="0" w:space="0" w:color="auto"/>
        <w:right w:val="none" w:sz="0" w:space="0" w:color="auto"/>
      </w:divBdr>
    </w:div>
    <w:div w:id="487481696">
      <w:bodyDiv w:val="1"/>
      <w:marLeft w:val="0"/>
      <w:marRight w:val="0"/>
      <w:marTop w:val="0"/>
      <w:marBottom w:val="0"/>
      <w:divBdr>
        <w:top w:val="none" w:sz="0" w:space="0" w:color="auto"/>
        <w:left w:val="none" w:sz="0" w:space="0" w:color="auto"/>
        <w:bottom w:val="none" w:sz="0" w:space="0" w:color="auto"/>
        <w:right w:val="none" w:sz="0" w:space="0" w:color="auto"/>
      </w:divBdr>
    </w:div>
    <w:div w:id="506948295">
      <w:bodyDiv w:val="1"/>
      <w:marLeft w:val="0"/>
      <w:marRight w:val="0"/>
      <w:marTop w:val="0"/>
      <w:marBottom w:val="0"/>
      <w:divBdr>
        <w:top w:val="none" w:sz="0" w:space="0" w:color="auto"/>
        <w:left w:val="none" w:sz="0" w:space="0" w:color="auto"/>
        <w:bottom w:val="none" w:sz="0" w:space="0" w:color="auto"/>
        <w:right w:val="none" w:sz="0" w:space="0" w:color="auto"/>
      </w:divBdr>
    </w:div>
    <w:div w:id="558053333">
      <w:bodyDiv w:val="1"/>
      <w:marLeft w:val="0"/>
      <w:marRight w:val="0"/>
      <w:marTop w:val="0"/>
      <w:marBottom w:val="0"/>
      <w:divBdr>
        <w:top w:val="none" w:sz="0" w:space="0" w:color="auto"/>
        <w:left w:val="none" w:sz="0" w:space="0" w:color="auto"/>
        <w:bottom w:val="none" w:sz="0" w:space="0" w:color="auto"/>
        <w:right w:val="none" w:sz="0" w:space="0" w:color="auto"/>
      </w:divBdr>
    </w:div>
    <w:div w:id="827987743">
      <w:bodyDiv w:val="1"/>
      <w:marLeft w:val="0"/>
      <w:marRight w:val="0"/>
      <w:marTop w:val="0"/>
      <w:marBottom w:val="0"/>
      <w:divBdr>
        <w:top w:val="none" w:sz="0" w:space="0" w:color="auto"/>
        <w:left w:val="none" w:sz="0" w:space="0" w:color="auto"/>
        <w:bottom w:val="none" w:sz="0" w:space="0" w:color="auto"/>
        <w:right w:val="none" w:sz="0" w:space="0" w:color="auto"/>
      </w:divBdr>
    </w:div>
    <w:div w:id="862788411">
      <w:bodyDiv w:val="1"/>
      <w:marLeft w:val="0"/>
      <w:marRight w:val="0"/>
      <w:marTop w:val="0"/>
      <w:marBottom w:val="0"/>
      <w:divBdr>
        <w:top w:val="none" w:sz="0" w:space="0" w:color="auto"/>
        <w:left w:val="none" w:sz="0" w:space="0" w:color="auto"/>
        <w:bottom w:val="none" w:sz="0" w:space="0" w:color="auto"/>
        <w:right w:val="none" w:sz="0" w:space="0" w:color="auto"/>
      </w:divBdr>
    </w:div>
    <w:div w:id="1079328106">
      <w:bodyDiv w:val="1"/>
      <w:marLeft w:val="0"/>
      <w:marRight w:val="0"/>
      <w:marTop w:val="0"/>
      <w:marBottom w:val="0"/>
      <w:divBdr>
        <w:top w:val="none" w:sz="0" w:space="0" w:color="auto"/>
        <w:left w:val="none" w:sz="0" w:space="0" w:color="auto"/>
        <w:bottom w:val="none" w:sz="0" w:space="0" w:color="auto"/>
        <w:right w:val="none" w:sz="0" w:space="0" w:color="auto"/>
      </w:divBdr>
    </w:div>
    <w:div w:id="1297643974">
      <w:bodyDiv w:val="1"/>
      <w:marLeft w:val="0"/>
      <w:marRight w:val="0"/>
      <w:marTop w:val="0"/>
      <w:marBottom w:val="0"/>
      <w:divBdr>
        <w:top w:val="none" w:sz="0" w:space="0" w:color="auto"/>
        <w:left w:val="none" w:sz="0" w:space="0" w:color="auto"/>
        <w:bottom w:val="none" w:sz="0" w:space="0" w:color="auto"/>
        <w:right w:val="none" w:sz="0" w:space="0" w:color="auto"/>
      </w:divBdr>
    </w:div>
    <w:div w:id="1721055743">
      <w:bodyDiv w:val="1"/>
      <w:marLeft w:val="0"/>
      <w:marRight w:val="0"/>
      <w:marTop w:val="0"/>
      <w:marBottom w:val="0"/>
      <w:divBdr>
        <w:top w:val="none" w:sz="0" w:space="0" w:color="auto"/>
        <w:left w:val="none" w:sz="0" w:space="0" w:color="auto"/>
        <w:bottom w:val="none" w:sz="0" w:space="0" w:color="auto"/>
        <w:right w:val="none" w:sz="0" w:space="0" w:color="auto"/>
      </w:divBdr>
    </w:div>
    <w:div w:id="1731266417">
      <w:bodyDiv w:val="1"/>
      <w:marLeft w:val="0"/>
      <w:marRight w:val="0"/>
      <w:marTop w:val="0"/>
      <w:marBottom w:val="0"/>
      <w:divBdr>
        <w:top w:val="none" w:sz="0" w:space="0" w:color="auto"/>
        <w:left w:val="none" w:sz="0" w:space="0" w:color="auto"/>
        <w:bottom w:val="none" w:sz="0" w:space="0" w:color="auto"/>
        <w:right w:val="none" w:sz="0" w:space="0" w:color="auto"/>
      </w:divBdr>
    </w:div>
    <w:div w:id="1851219608">
      <w:bodyDiv w:val="1"/>
      <w:marLeft w:val="0"/>
      <w:marRight w:val="0"/>
      <w:marTop w:val="0"/>
      <w:marBottom w:val="0"/>
      <w:divBdr>
        <w:top w:val="none" w:sz="0" w:space="0" w:color="auto"/>
        <w:left w:val="none" w:sz="0" w:space="0" w:color="auto"/>
        <w:bottom w:val="none" w:sz="0" w:space="0" w:color="auto"/>
        <w:right w:val="none" w:sz="0" w:space="0" w:color="auto"/>
      </w:divBdr>
    </w:div>
    <w:div w:id="1864980627">
      <w:bodyDiv w:val="1"/>
      <w:marLeft w:val="0"/>
      <w:marRight w:val="0"/>
      <w:marTop w:val="0"/>
      <w:marBottom w:val="0"/>
      <w:divBdr>
        <w:top w:val="none" w:sz="0" w:space="0" w:color="auto"/>
        <w:left w:val="none" w:sz="0" w:space="0" w:color="auto"/>
        <w:bottom w:val="none" w:sz="0" w:space="0" w:color="auto"/>
        <w:right w:val="none" w:sz="0" w:space="0" w:color="auto"/>
      </w:divBdr>
    </w:div>
    <w:div w:id="1962615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doi.org/10.24042/bu.v15i2.689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ma.ac.id/jurnal/index.php/RBJ/article/download/528/49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journal.radenintan.ac.id/index.php/alummah" TargetMode="External"/><Relationship Id="rId5" Type="http://schemas.microsoft.com/office/2007/relationships/stylesWithEffects" Target="stylesWithEffects.xml"/><Relationship Id="rId15" Type="http://schemas.openxmlformats.org/officeDocument/2006/relationships/hyperlink" Target="mailto:irsyadunnas@uin-suka.ac.id"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ikhsann664@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3PCHOvqfBsDemqwZYxmBEIqc8Q==">AMUW2mU7mwu/UNoBaWJSs/1yNyY7IXVptL/m/GzURtzqEYWZAp4NkU+/sSCK5N7HDjV1IO6T1p6dN8jWtI1FskJgW6VgjRQAy8XcjCCJqSr4a9G8t/b6wgOSjTy2Q/40U1w7tE+GC85L</go:docsCustomData>
</go:gDocsCustomXmlDataStorage>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CA87D5-A78A-4071-8663-3E598432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4167</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37</cp:revision>
  <dcterms:created xsi:type="dcterms:W3CDTF">2025-01-28T17:33:00Z</dcterms:created>
  <dcterms:modified xsi:type="dcterms:W3CDTF">2025-04-24T10:18:00Z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http://www.zotero.org/styles/chicago-fullnote-bibliography-16th-edition</vt:lpwstr>
  </property>
  <property fmtid="{D5CDD505-2E9C-101B-9397-08002B2CF9AE}" pid="9" name="Mendeley Recent Style Name 3_1">
    <vt:lpwstr>Chicago Manual of Style 16th edition (full note)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http://www.zotero.org/styles/modern-humanities-research-association-3rd-edition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9th edition (full note)</vt:lpwstr>
  </property>
  <property fmtid="{D5CDD505-2E9C-101B-9397-08002B2CF9AE}" pid="22" name="ZOTERO_PREF_1">
    <vt:lpwstr>&lt;data data-version="3" zotero-version="5.0.96.2"&gt;&lt;session id="co3BtUnM"/&gt;&lt;style id="http://www.zotero.org/styles/chicago-fullnote-bibliography" locale="en-US" hasBibliography="1" bibliographyStyleHasBeenSet="1"/&gt;&lt;prefs&gt;&lt;pref name="fieldType" value="Field"</vt:lpwstr>
  </property>
  <property fmtid="{D5CDD505-2E9C-101B-9397-08002B2CF9AE}" pid="23" name="ZOTERO_PREF_2">
    <vt:lpwstr>/&gt;&lt;pref name="automaticJournalAbbreviations" value="true"/&gt;&lt;pref name="noteType" value="1"/&gt;&lt;/prefs&gt;&lt;/data&gt;</vt:lpwstr>
  </property>
  <property fmtid="{D5CDD505-2E9C-101B-9397-08002B2CF9AE}" pid="24" name="Mendeley Document_1">
    <vt:lpwstr>True</vt:lpwstr>
  </property>
  <property fmtid="{D5CDD505-2E9C-101B-9397-08002B2CF9AE}" pid="25" name="Mendeley Unique User Id_1">
    <vt:lpwstr>b821eb38-fa8a-366f-9b37-9c9f9a7231fc</vt:lpwstr>
  </property>
  <property fmtid="{D5CDD505-2E9C-101B-9397-08002B2CF9AE}" pid="26" name="Mendeley Citation Style_1">
    <vt:lpwstr>http://www.zotero.org/styles/modern-humanities-research-association-3rd-edition</vt:lpwstr>
  </property>
</Properties>
</file>